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F907B">
      <w:pPr>
        <w:spacing w:before="120" w:after="120" w:line="360" w:lineRule="auto"/>
        <w:jc w:val="left"/>
        <w:rPr>
          <w:rFonts w:ascii="宋体" w:hAnsi="宋体" w:cs="宋体"/>
          <w:b/>
          <w:bCs/>
          <w:sz w:val="40"/>
          <w:szCs w:val="40"/>
          <w:highlight w:val="none"/>
        </w:rPr>
      </w:pPr>
    </w:p>
    <w:p w14:paraId="2586D2A1">
      <w:pPr>
        <w:spacing w:before="120" w:after="120" w:line="360" w:lineRule="auto"/>
        <w:jc w:val="center"/>
        <w:rPr>
          <w:rFonts w:ascii="宋体" w:hAnsi="宋体" w:cs="宋体"/>
          <w:b/>
          <w:bCs/>
          <w:sz w:val="52"/>
          <w:szCs w:val="52"/>
          <w:highlight w:val="none"/>
        </w:rPr>
      </w:pPr>
      <w:r>
        <w:rPr>
          <w:rFonts w:hint="eastAsia" w:ascii="宋体" w:hAnsi="宋体" w:cs="宋体"/>
          <w:b/>
          <w:bCs/>
          <w:sz w:val="52"/>
          <w:szCs w:val="52"/>
          <w:highlight w:val="none"/>
        </w:rPr>
        <w:t>竞争性磋商文件</w:t>
      </w:r>
    </w:p>
    <w:p w14:paraId="23D80A08">
      <w:pPr>
        <w:pStyle w:val="321"/>
        <w:ind w:firstLine="0"/>
        <w:jc w:val="center"/>
        <w:rPr>
          <w:rFonts w:ascii="宋体" w:hAnsi="宋体" w:cs="宋体"/>
          <w:b/>
          <w:bCs/>
          <w:sz w:val="40"/>
          <w:szCs w:val="40"/>
          <w:highlight w:val="none"/>
        </w:rPr>
      </w:pPr>
    </w:p>
    <w:p w14:paraId="7CD63FC1">
      <w:pPr>
        <w:pStyle w:val="321"/>
        <w:ind w:firstLine="0"/>
        <w:jc w:val="center"/>
        <w:rPr>
          <w:rFonts w:ascii="宋体" w:hAnsi="宋体" w:cs="宋体"/>
          <w:b/>
          <w:bCs/>
          <w:sz w:val="40"/>
          <w:szCs w:val="40"/>
          <w:highlight w:val="none"/>
        </w:rPr>
      </w:pPr>
    </w:p>
    <w:p w14:paraId="64C166AC">
      <w:pPr>
        <w:pStyle w:val="321"/>
        <w:ind w:firstLine="0"/>
        <w:jc w:val="center"/>
        <w:rPr>
          <w:rFonts w:ascii="宋体" w:hAnsi="宋体" w:cs="宋体"/>
          <w:b/>
          <w:bCs/>
          <w:sz w:val="40"/>
          <w:szCs w:val="40"/>
          <w:highlight w:val="none"/>
        </w:rPr>
      </w:pPr>
    </w:p>
    <w:p w14:paraId="14F82A13">
      <w:pPr>
        <w:spacing w:before="120" w:after="120" w:line="360" w:lineRule="auto"/>
        <w:ind w:firstLine="1205"/>
        <w:jc w:val="left"/>
        <w:rPr>
          <w:rFonts w:hint="eastAsia" w:ascii="宋体" w:hAnsi="宋体" w:eastAsia="宋体" w:cs="宋体"/>
          <w:b/>
          <w:bCs/>
          <w:sz w:val="40"/>
          <w:szCs w:val="40"/>
          <w:highlight w:val="none"/>
          <w:u w:val="single"/>
        </w:rPr>
      </w:pPr>
      <w:r>
        <w:rPr>
          <w:rFonts w:hint="eastAsia" w:ascii="宋体" w:hAnsi="宋体" w:cs="宋体"/>
          <w:b/>
          <w:bCs/>
          <w:sz w:val="40"/>
          <w:szCs w:val="40"/>
          <w:highlight w:val="none"/>
        </w:rPr>
        <w:t>项目名称：</w:t>
      </w:r>
      <w:r>
        <w:rPr>
          <w:rFonts w:hint="eastAsia"/>
          <w:b/>
          <w:color w:val="000000"/>
          <w:sz w:val="30"/>
          <w:szCs w:val="30"/>
          <w:lang w:eastAsia="zh-CN"/>
        </w:rPr>
        <w:t>南京浦口区新一代电子政务外网</w:t>
      </w:r>
      <w:r>
        <w:rPr>
          <w:rFonts w:hint="eastAsia"/>
          <w:b/>
          <w:color w:val="000000"/>
          <w:sz w:val="30"/>
          <w:szCs w:val="30"/>
          <w:lang w:val="en-US" w:eastAsia="zh-CN"/>
        </w:rPr>
        <w:t>建设</w:t>
      </w:r>
      <w:r>
        <w:rPr>
          <w:rFonts w:hint="eastAsia"/>
          <w:b/>
          <w:color w:val="000000"/>
          <w:sz w:val="30"/>
          <w:szCs w:val="30"/>
          <w:lang w:eastAsia="zh-CN"/>
        </w:rPr>
        <w:t>项目</w:t>
      </w:r>
    </w:p>
    <w:p w14:paraId="7A382CA0">
      <w:pPr>
        <w:spacing w:before="120" w:after="120" w:line="360" w:lineRule="auto"/>
        <w:ind w:firstLine="1205"/>
        <w:jc w:val="left"/>
        <w:rPr>
          <w:rFonts w:hint="eastAsia" w:ascii="宋体" w:hAnsi="宋体" w:eastAsia="宋体" w:cs="宋体"/>
          <w:b/>
          <w:bCs/>
          <w:sz w:val="40"/>
          <w:szCs w:val="40"/>
          <w:highlight w:val="none"/>
          <w:u w:val="single"/>
        </w:rPr>
      </w:pPr>
      <w:r>
        <w:rPr>
          <w:rFonts w:hint="eastAsia" w:ascii="宋体" w:hAnsi="宋体" w:cs="宋体"/>
          <w:b/>
          <w:bCs/>
          <w:sz w:val="40"/>
          <w:szCs w:val="40"/>
          <w:highlight w:val="none"/>
        </w:rPr>
        <w:t>项目编号：JSZC-320111-JZCG-C2025-0108</w:t>
      </w:r>
    </w:p>
    <w:p w14:paraId="7ABDE540">
      <w:pPr>
        <w:spacing w:line="360" w:lineRule="auto"/>
        <w:jc w:val="center"/>
        <w:rPr>
          <w:rFonts w:ascii="宋体" w:hAnsi="宋体" w:cs="宋体"/>
          <w:b/>
          <w:sz w:val="40"/>
          <w:szCs w:val="40"/>
          <w:highlight w:val="none"/>
        </w:rPr>
      </w:pPr>
      <w:r>
        <w:rPr>
          <w:rFonts w:hint="eastAsia" w:ascii="宋体" w:hAnsi="宋体" w:cs="宋体"/>
          <w:b/>
          <w:sz w:val="40"/>
          <w:szCs w:val="40"/>
          <w:highlight w:val="none"/>
        </w:rPr>
        <w:t>（</w:t>
      </w:r>
      <w:r>
        <w:rPr>
          <w:rFonts w:hint="eastAsia" w:ascii="宋体" w:hAnsi="宋体" w:cs="宋体"/>
          <w:b/>
          <w:strike w:val="0"/>
          <w:sz w:val="40"/>
          <w:szCs w:val="40"/>
          <w:highlight w:val="none"/>
        </w:rPr>
        <w:t>非</w:t>
      </w:r>
      <w:r>
        <w:rPr>
          <w:rFonts w:hint="eastAsia" w:ascii="宋体" w:hAnsi="宋体" w:cs="宋体"/>
          <w:b/>
          <w:sz w:val="40"/>
          <w:szCs w:val="40"/>
          <w:highlight w:val="none"/>
        </w:rPr>
        <w:t>专门面向中小企业）</w:t>
      </w:r>
    </w:p>
    <w:p w14:paraId="289FF84A">
      <w:pPr>
        <w:spacing w:line="360" w:lineRule="auto"/>
        <w:jc w:val="left"/>
        <w:rPr>
          <w:rFonts w:ascii="宋体" w:hAnsi="宋体" w:cs="宋体"/>
          <w:sz w:val="40"/>
          <w:szCs w:val="40"/>
          <w:highlight w:val="none"/>
        </w:rPr>
      </w:pPr>
    </w:p>
    <w:p w14:paraId="06A52377">
      <w:pPr>
        <w:spacing w:line="360" w:lineRule="auto"/>
        <w:jc w:val="left"/>
        <w:rPr>
          <w:rFonts w:ascii="宋体" w:hAnsi="宋体" w:cs="宋体"/>
          <w:sz w:val="40"/>
          <w:szCs w:val="40"/>
          <w:highlight w:val="none"/>
        </w:rPr>
      </w:pPr>
    </w:p>
    <w:p w14:paraId="31AC23E1">
      <w:pPr>
        <w:spacing w:line="360" w:lineRule="auto"/>
        <w:jc w:val="left"/>
        <w:rPr>
          <w:rFonts w:ascii="宋体" w:hAnsi="宋体" w:cs="宋体"/>
          <w:sz w:val="40"/>
          <w:szCs w:val="40"/>
          <w:highlight w:val="none"/>
        </w:rPr>
      </w:pPr>
    </w:p>
    <w:p w14:paraId="6668A7EC">
      <w:pPr>
        <w:spacing w:line="360" w:lineRule="auto"/>
        <w:jc w:val="left"/>
        <w:rPr>
          <w:rFonts w:ascii="宋体" w:hAnsi="宋体" w:cs="宋体"/>
          <w:sz w:val="40"/>
          <w:szCs w:val="40"/>
          <w:highlight w:val="none"/>
        </w:rPr>
      </w:pPr>
    </w:p>
    <w:p w14:paraId="34451BCF">
      <w:pPr>
        <w:pStyle w:val="321"/>
        <w:ind w:firstLine="0"/>
        <w:jc w:val="center"/>
        <w:rPr>
          <w:rFonts w:ascii="宋体" w:hAnsi="宋体" w:cs="宋体"/>
          <w:b/>
          <w:bCs/>
          <w:sz w:val="40"/>
          <w:szCs w:val="40"/>
          <w:highlight w:val="none"/>
        </w:rPr>
      </w:pPr>
      <w:r>
        <w:rPr>
          <w:rFonts w:hint="eastAsia" w:ascii="宋体" w:hAnsi="宋体" w:cs="宋体"/>
          <w:b/>
          <w:bCs/>
          <w:sz w:val="40"/>
          <w:szCs w:val="40"/>
          <w:highlight w:val="none"/>
        </w:rPr>
        <w:t>南京市公共资源交易中心浦口分中心</w:t>
      </w:r>
    </w:p>
    <w:p w14:paraId="76CFC086">
      <w:pPr>
        <w:pStyle w:val="321"/>
        <w:ind w:firstLine="0"/>
        <w:jc w:val="center"/>
        <w:rPr>
          <w:rFonts w:ascii="宋体" w:hAnsi="宋体" w:cs="宋体"/>
          <w:b/>
          <w:bCs/>
          <w:sz w:val="40"/>
          <w:szCs w:val="40"/>
          <w:highlight w:val="none"/>
        </w:rPr>
      </w:pPr>
      <w:r>
        <w:rPr>
          <w:rFonts w:hint="eastAsia" w:ascii="宋体" w:hAnsi="宋体" w:cs="宋体"/>
          <w:b/>
          <w:bCs/>
          <w:sz w:val="40"/>
          <w:szCs w:val="40"/>
          <w:highlight w:val="none"/>
          <w:u w:val="single"/>
        </w:rPr>
        <w:t>202</w:t>
      </w:r>
      <w:r>
        <w:rPr>
          <w:rFonts w:hint="eastAsia" w:ascii="宋体" w:hAnsi="宋体" w:cs="宋体"/>
          <w:b/>
          <w:bCs/>
          <w:sz w:val="40"/>
          <w:szCs w:val="40"/>
          <w:highlight w:val="none"/>
          <w:u w:val="single"/>
          <w:lang w:val="en-US" w:eastAsia="zh-CN"/>
        </w:rPr>
        <w:t>5</w:t>
      </w:r>
      <w:r>
        <w:rPr>
          <w:rFonts w:hint="eastAsia" w:ascii="宋体" w:hAnsi="宋体" w:cs="宋体"/>
          <w:b/>
          <w:bCs/>
          <w:sz w:val="40"/>
          <w:szCs w:val="40"/>
          <w:highlight w:val="none"/>
        </w:rPr>
        <w:t>年</w:t>
      </w:r>
      <w:r>
        <w:rPr>
          <w:rFonts w:hint="eastAsia" w:ascii="宋体" w:hAnsi="宋体" w:cs="宋体"/>
          <w:b/>
          <w:bCs/>
          <w:sz w:val="40"/>
          <w:szCs w:val="40"/>
          <w:highlight w:val="none"/>
          <w:u w:val="single"/>
          <w:lang w:val="en-US" w:eastAsia="zh-CN"/>
        </w:rPr>
        <w:t>11</w:t>
      </w:r>
      <w:r>
        <w:rPr>
          <w:rFonts w:hint="eastAsia" w:ascii="宋体" w:hAnsi="宋体" w:cs="宋体"/>
          <w:b/>
          <w:bCs/>
          <w:sz w:val="40"/>
          <w:szCs w:val="40"/>
          <w:highlight w:val="none"/>
        </w:rPr>
        <w:t>月</w:t>
      </w:r>
    </w:p>
    <w:p w14:paraId="6F1C327D">
      <w:pPr>
        <w:spacing w:before="120" w:after="120" w:line="360" w:lineRule="auto"/>
        <w:jc w:val="left"/>
        <w:rPr>
          <w:rFonts w:ascii="宋体" w:hAnsi="宋体" w:cs="宋体"/>
          <w:sz w:val="24"/>
          <w:szCs w:val="24"/>
          <w:highlight w:val="none"/>
          <w:u w:val="single"/>
        </w:rPr>
      </w:pPr>
    </w:p>
    <w:p w14:paraId="105F360B">
      <w:pPr>
        <w:pStyle w:val="5"/>
        <w:jc w:val="center"/>
        <w:rPr>
          <w:highlight w:val="none"/>
        </w:rPr>
      </w:pPr>
      <w:bookmarkStart w:id="0" w:name="_Toc120614210"/>
      <w:bookmarkStart w:id="1" w:name="_Toc513029200"/>
      <w:bookmarkStart w:id="2" w:name="_Toc16938516"/>
      <w:bookmarkStart w:id="3" w:name="_Toc20823272"/>
      <w:bookmarkStart w:id="4" w:name="_Toc479757206"/>
      <w:bookmarkStart w:id="5" w:name="_Toc523127445"/>
      <w:r>
        <w:rPr>
          <w:rFonts w:hint="eastAsia"/>
          <w:highlight w:val="none"/>
        </w:rPr>
        <w:t>第一章</w:t>
      </w:r>
      <w:bookmarkEnd w:id="0"/>
      <w:r>
        <w:rPr>
          <w:rFonts w:hint="eastAsia"/>
          <w:highlight w:val="none"/>
        </w:rPr>
        <w:t>磋商邀请</w:t>
      </w:r>
    </w:p>
    <w:p w14:paraId="40A33CF2">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受南京市浦口区</w:t>
      </w:r>
      <w:r>
        <w:rPr>
          <w:rFonts w:hint="eastAsia" w:ascii="宋体" w:hAnsi="宋体" w:cs="宋体"/>
          <w:sz w:val="24"/>
          <w:szCs w:val="24"/>
          <w:highlight w:val="none"/>
          <w:lang w:val="en-US" w:eastAsia="zh-CN"/>
        </w:rPr>
        <w:t>城市数字治理中心</w:t>
      </w:r>
      <w:r>
        <w:rPr>
          <w:rFonts w:hint="eastAsia" w:ascii="宋体" w:hAnsi="宋体" w:cs="宋体"/>
          <w:sz w:val="24"/>
          <w:szCs w:val="24"/>
          <w:highlight w:val="none"/>
        </w:rPr>
        <w:t>委托，南京市公共资源交易中心浦口分中心就</w:t>
      </w:r>
      <w:r>
        <w:rPr>
          <w:rFonts w:hint="eastAsia" w:ascii="宋体" w:hAnsi="宋体" w:eastAsia="宋体" w:cs="宋体"/>
          <w:sz w:val="24"/>
          <w:szCs w:val="24"/>
          <w:highlight w:val="none"/>
          <w:lang w:eastAsia="zh-CN"/>
        </w:rPr>
        <w:t>南京浦口区新一代电子政务外网</w:t>
      </w:r>
      <w:r>
        <w:rPr>
          <w:rFonts w:hint="eastAsia" w:ascii="宋体" w:hAnsi="宋体" w:eastAsia="宋体" w:cs="宋体"/>
          <w:sz w:val="24"/>
          <w:szCs w:val="24"/>
          <w:highlight w:val="none"/>
          <w:lang w:val="en-US" w:eastAsia="zh-CN"/>
        </w:rPr>
        <w:t>建设</w:t>
      </w:r>
      <w:r>
        <w:rPr>
          <w:rFonts w:hint="eastAsia" w:ascii="宋体" w:hAnsi="宋体" w:eastAsia="宋体" w:cs="宋体"/>
          <w:sz w:val="24"/>
          <w:szCs w:val="24"/>
          <w:highlight w:val="none"/>
          <w:lang w:eastAsia="zh-CN"/>
        </w:rPr>
        <w:t>项目</w:t>
      </w:r>
      <w:r>
        <w:rPr>
          <w:rFonts w:hint="eastAsia" w:ascii="宋体" w:hAnsi="宋体" w:cs="宋体"/>
          <w:sz w:val="24"/>
          <w:szCs w:val="24"/>
          <w:highlight w:val="none"/>
        </w:rPr>
        <w:t>进行竞争性磋商采购，欢迎符合条件的供应商参加磋商。</w:t>
      </w:r>
    </w:p>
    <w:p w14:paraId="738B728C">
      <w:pPr>
        <w:pStyle w:val="236"/>
        <w:pageBreakBefore w:val="0"/>
        <w:widowControl w:val="0"/>
        <w:spacing w:before="0" w:after="0" w:line="400" w:lineRule="exact"/>
        <w:ind w:firstLine="480"/>
        <w:rPr>
          <w:rFonts w:ascii="宋体" w:hAnsi="宋体" w:cs="宋体"/>
          <w:b w:val="0"/>
          <w:bCs w:val="0"/>
          <w:sz w:val="24"/>
          <w:szCs w:val="24"/>
          <w:highlight w:val="none"/>
        </w:rPr>
      </w:pPr>
      <w:bookmarkStart w:id="204" w:name="_GoBack"/>
      <w:bookmarkEnd w:id="204"/>
      <w:bookmarkStart w:id="6" w:name="_Toc35393621"/>
      <w:bookmarkStart w:id="7" w:name="_Toc38985263"/>
      <w:bookmarkStart w:id="8" w:name="_Toc28359079"/>
      <w:bookmarkStart w:id="9" w:name="_Toc28359002"/>
      <w:bookmarkStart w:id="10" w:name="_Toc35393790"/>
      <w:bookmarkStart w:id="11" w:name="_Hlk24379207"/>
      <w:r>
        <w:rPr>
          <w:rFonts w:hint="eastAsia" w:ascii="宋体" w:hAnsi="宋体" w:cs="宋体"/>
          <w:b w:val="0"/>
          <w:bCs w:val="0"/>
          <w:sz w:val="24"/>
          <w:szCs w:val="24"/>
          <w:highlight w:val="none"/>
        </w:rPr>
        <w:t>一、项目基本情况</w:t>
      </w:r>
      <w:bookmarkEnd w:id="6"/>
      <w:bookmarkEnd w:id="7"/>
      <w:bookmarkEnd w:id="8"/>
      <w:bookmarkEnd w:id="9"/>
      <w:bookmarkEnd w:id="10"/>
    </w:p>
    <w:p w14:paraId="61CA700F">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rPr>
        <w:t>1.项目编号：JSZC-320111-JZCG-C2025-0108</w:t>
      </w:r>
    </w:p>
    <w:p w14:paraId="6772C634">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rPr>
        <w:t>2.项目名称：</w:t>
      </w:r>
      <w:bookmarkEnd w:id="11"/>
      <w:r>
        <w:rPr>
          <w:rFonts w:hint="eastAsia" w:ascii="宋体" w:hAnsi="宋体" w:eastAsia="宋体" w:cs="宋体"/>
          <w:sz w:val="24"/>
          <w:szCs w:val="24"/>
          <w:highlight w:val="none"/>
          <w:lang w:eastAsia="zh-CN"/>
        </w:rPr>
        <w:t>南京浦口区新一代电子政务外网</w:t>
      </w:r>
      <w:r>
        <w:rPr>
          <w:rFonts w:hint="eastAsia" w:ascii="宋体" w:hAnsi="宋体" w:eastAsia="宋体" w:cs="宋体"/>
          <w:sz w:val="24"/>
          <w:szCs w:val="24"/>
          <w:highlight w:val="none"/>
          <w:lang w:val="en-US" w:eastAsia="zh-CN"/>
        </w:rPr>
        <w:t>建设</w:t>
      </w:r>
      <w:r>
        <w:rPr>
          <w:rFonts w:hint="eastAsia" w:ascii="宋体" w:hAnsi="宋体" w:eastAsia="宋体" w:cs="宋体"/>
          <w:sz w:val="24"/>
          <w:szCs w:val="24"/>
          <w:highlight w:val="none"/>
          <w:lang w:eastAsia="zh-CN"/>
        </w:rPr>
        <w:t>项目</w:t>
      </w:r>
    </w:p>
    <w:p w14:paraId="51406407">
      <w:pPr>
        <w:pageBreakBefore w:val="0"/>
        <w:widowControl w:val="0"/>
        <w:spacing w:line="400" w:lineRule="exact"/>
        <w:ind w:firstLine="480"/>
        <w:rPr>
          <w:rFonts w:hint="default" w:ascii="宋体" w:hAnsi="宋体" w:eastAsia="宋体" w:cs="宋体"/>
          <w:sz w:val="24"/>
          <w:szCs w:val="24"/>
          <w:highlight w:val="none"/>
          <w:lang w:val="en-US"/>
        </w:rPr>
      </w:pPr>
      <w:r>
        <w:rPr>
          <w:rFonts w:hint="eastAsia" w:ascii="宋体" w:hAnsi="宋体" w:cs="宋体"/>
          <w:sz w:val="24"/>
          <w:szCs w:val="24"/>
          <w:highlight w:val="none"/>
        </w:rPr>
        <w:t>3.预算金额：</w:t>
      </w:r>
      <w:r>
        <w:rPr>
          <w:rFonts w:hint="eastAsia" w:ascii="宋体" w:hAnsi="宋体" w:cs="宋体"/>
          <w:sz w:val="24"/>
          <w:szCs w:val="24"/>
          <w:highlight w:val="none"/>
          <w:lang w:val="en-US" w:eastAsia="zh-CN"/>
        </w:rPr>
        <w:t>140万元</w:t>
      </w:r>
    </w:p>
    <w:p w14:paraId="63A9424F">
      <w:pPr>
        <w:pageBreakBefore w:val="0"/>
        <w:widowControl w:val="0"/>
        <w:spacing w:line="400" w:lineRule="exact"/>
        <w:ind w:firstLine="480"/>
        <w:rPr>
          <w:rFonts w:ascii="宋体" w:hAnsi="宋体" w:cs="宋体"/>
          <w:sz w:val="24"/>
          <w:szCs w:val="24"/>
          <w:highlight w:val="none"/>
        </w:rPr>
      </w:pPr>
      <w:bookmarkStart w:id="12" w:name="_Toc38985264"/>
      <w:bookmarkStart w:id="13" w:name="_Toc35393791"/>
      <w:bookmarkStart w:id="14" w:name="_Toc35393622"/>
      <w:bookmarkStart w:id="15" w:name="_Toc28359080"/>
      <w:bookmarkStart w:id="16" w:name="_Toc28359003"/>
      <w:r>
        <w:rPr>
          <w:rFonts w:hint="eastAsia" w:ascii="宋体" w:hAnsi="宋体" w:cs="宋体"/>
          <w:sz w:val="24"/>
          <w:szCs w:val="24"/>
          <w:highlight w:val="none"/>
        </w:rPr>
        <w:t>4.本项目最高限价：</w:t>
      </w:r>
      <w:r>
        <w:rPr>
          <w:rFonts w:hint="eastAsia" w:ascii="宋体" w:hAnsi="宋体" w:cs="宋体"/>
          <w:sz w:val="24"/>
          <w:szCs w:val="24"/>
          <w:highlight w:val="none"/>
          <w:lang w:val="en-US" w:eastAsia="zh-CN"/>
        </w:rPr>
        <w:t>135</w:t>
      </w:r>
      <w:r>
        <w:rPr>
          <w:rFonts w:hint="eastAsia" w:ascii="宋体" w:hAnsi="宋体" w:cs="宋体"/>
          <w:sz w:val="24"/>
          <w:szCs w:val="24"/>
          <w:highlight w:val="none"/>
        </w:rPr>
        <w:t>万元，报价超过最高投标限价的为无效报价，按照无效响应处理。</w:t>
      </w:r>
    </w:p>
    <w:p w14:paraId="404EBA01">
      <w:pPr>
        <w:spacing w:line="264" w:lineRule="auto"/>
        <w:ind w:firstLine="480"/>
        <w:rPr>
          <w:rFonts w:ascii="宋体" w:hAnsi="宋体" w:cs="宋体"/>
          <w:sz w:val="24"/>
          <w:szCs w:val="24"/>
          <w:highlight w:val="none"/>
        </w:rPr>
      </w:pPr>
      <w:r>
        <w:rPr>
          <w:rFonts w:hint="eastAsia" w:ascii="宋体" w:hAnsi="宋体" w:cs="宋体"/>
          <w:sz w:val="24"/>
          <w:szCs w:val="24"/>
          <w:highlight w:val="none"/>
        </w:rPr>
        <w:t>5.采购需求（简介）：</w:t>
      </w:r>
      <w:r>
        <w:rPr>
          <w:rFonts w:hint="eastAsia" w:ascii="宋体" w:hAnsi="宋体" w:cs="宋体"/>
          <w:bCs/>
          <w:color w:val="000000"/>
          <w:sz w:val="24"/>
          <w:szCs w:val="24"/>
          <w:lang w:eastAsia="zh-CN"/>
        </w:rPr>
        <w:t>浦口区新一代电子政务外网</w:t>
      </w:r>
      <w:r>
        <w:rPr>
          <w:rFonts w:hint="eastAsia" w:ascii="宋体" w:hAnsi="宋体" w:cs="宋体"/>
          <w:bCs/>
          <w:color w:val="000000"/>
          <w:sz w:val="24"/>
          <w:szCs w:val="24"/>
          <w:lang w:val="en-US" w:eastAsia="zh-CN"/>
        </w:rPr>
        <w:t>建设</w:t>
      </w:r>
      <w:r>
        <w:rPr>
          <w:rFonts w:hint="eastAsia" w:ascii="宋体" w:hAnsi="宋体"/>
          <w:color w:val="auto"/>
          <w:sz w:val="24"/>
          <w:szCs w:val="24"/>
          <w:highlight w:val="none"/>
        </w:rPr>
        <w:t>，详细内容</w:t>
      </w:r>
      <w:r>
        <w:rPr>
          <w:rFonts w:hint="eastAsia" w:ascii="宋体" w:hAnsi="宋体" w:cs="宋体"/>
          <w:color w:val="auto"/>
          <w:sz w:val="24"/>
          <w:szCs w:val="24"/>
          <w:highlight w:val="none"/>
        </w:rPr>
        <w:t>见本</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文件第四章。</w:t>
      </w:r>
    </w:p>
    <w:p w14:paraId="0032C7E3">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6.合同履行期限：</w:t>
      </w:r>
      <w:r>
        <w:rPr>
          <w:rFonts w:hint="eastAsia" w:ascii="宋体" w:hAnsi="宋体" w:cs="宋体"/>
          <w:color w:val="auto"/>
          <w:sz w:val="24"/>
          <w:szCs w:val="24"/>
          <w:highlight w:val="none"/>
          <w:lang w:val="en-US" w:eastAsia="zh-CN"/>
        </w:rPr>
        <w:t>60个日历日</w:t>
      </w:r>
      <w:r>
        <w:rPr>
          <w:rFonts w:hint="eastAsia" w:ascii="宋体" w:hAnsi="宋体" w:cs="宋体"/>
          <w:color w:val="auto"/>
          <w:sz w:val="24"/>
          <w:szCs w:val="24"/>
          <w:highlight w:val="none"/>
        </w:rPr>
        <w:t>，</w:t>
      </w:r>
      <w:r>
        <w:rPr>
          <w:rFonts w:hint="eastAsia" w:ascii="宋体" w:hAnsi="宋体"/>
          <w:color w:val="auto"/>
          <w:sz w:val="24"/>
          <w:szCs w:val="24"/>
          <w:highlight w:val="none"/>
        </w:rPr>
        <w:t>合同签订后</w:t>
      </w:r>
      <w:r>
        <w:rPr>
          <w:rFonts w:hint="eastAsia" w:ascii="宋体" w:hAnsi="宋体"/>
          <w:color w:val="auto"/>
          <w:sz w:val="24"/>
          <w:szCs w:val="24"/>
          <w:highlight w:val="none"/>
          <w:lang w:val="en-US" w:eastAsia="zh-CN"/>
        </w:rPr>
        <w:t>60个日历日内完成合同约定内容</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硬件质保五年</w:t>
      </w:r>
      <w:r>
        <w:rPr>
          <w:rFonts w:hint="eastAsia" w:ascii="宋体" w:hAnsi="宋体" w:cs="宋体"/>
          <w:sz w:val="24"/>
          <w:szCs w:val="24"/>
          <w:highlight w:val="none"/>
        </w:rPr>
        <w:t>。</w:t>
      </w:r>
    </w:p>
    <w:p w14:paraId="51107EB1">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7.本项目不接受联合体参与磋商。</w:t>
      </w:r>
    </w:p>
    <w:p w14:paraId="2FB2693E">
      <w:pPr>
        <w:pStyle w:val="236"/>
        <w:pageBreakBefore w:val="0"/>
        <w:widowControl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二、申请人的资格要求</w:t>
      </w:r>
      <w:bookmarkEnd w:id="12"/>
      <w:bookmarkEnd w:id="13"/>
      <w:bookmarkEnd w:id="14"/>
      <w:bookmarkEnd w:id="15"/>
      <w:bookmarkEnd w:id="16"/>
    </w:p>
    <w:p w14:paraId="2BB0F1F9">
      <w:pPr>
        <w:pageBreakBefore w:val="0"/>
        <w:widowControl w:val="0"/>
        <w:spacing w:line="400" w:lineRule="exact"/>
        <w:ind w:firstLine="480"/>
        <w:rPr>
          <w:rFonts w:ascii="宋体" w:hAnsi="宋体" w:cs="宋体"/>
          <w:sz w:val="24"/>
          <w:szCs w:val="24"/>
          <w:highlight w:val="none"/>
        </w:rPr>
      </w:pPr>
      <w:bookmarkStart w:id="17" w:name="_Toc28359081"/>
      <w:bookmarkStart w:id="18" w:name="_Toc35393623"/>
      <w:bookmarkStart w:id="19" w:name="_Toc35393792"/>
      <w:bookmarkStart w:id="20" w:name="_Toc38985265"/>
      <w:bookmarkStart w:id="21" w:name="_Toc28359004"/>
      <w:r>
        <w:rPr>
          <w:rFonts w:hint="eastAsia" w:ascii="宋体" w:hAnsi="宋体" w:cs="宋体"/>
          <w:sz w:val="24"/>
          <w:szCs w:val="24"/>
          <w:highlight w:val="none"/>
        </w:rPr>
        <w:t>（一）通用资格要求</w:t>
      </w:r>
    </w:p>
    <w:p w14:paraId="6F048FFB">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1.满足《中华人民共和国政府采购法》第二十二条规定，并提供下列材料：</w:t>
      </w:r>
    </w:p>
    <w:p w14:paraId="161FC2E6">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1.1</w:t>
      </w:r>
      <w:r>
        <w:rPr>
          <w:rFonts w:hint="eastAsia" w:ascii="宋体" w:hAnsi="宋体" w:cs="宋体"/>
          <w:sz w:val="24"/>
          <w:szCs w:val="24"/>
          <w:highlight w:val="none"/>
          <w:lang w:val="zh-CN"/>
        </w:rPr>
        <w:t>供应商信用承诺函（格式见第六章）。</w:t>
      </w:r>
    </w:p>
    <w:p w14:paraId="7424AB16">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2.落实政府采购政策需满足的资格要求：</w:t>
      </w:r>
    </w:p>
    <w:p w14:paraId="71E94569">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非</w:t>
      </w:r>
      <w:r>
        <w:rPr>
          <w:rFonts w:hint="eastAsia" w:ascii="宋体" w:hAnsi="宋体" w:cs="宋体"/>
          <w:sz w:val="24"/>
          <w:szCs w:val="24"/>
          <w:highlight w:val="none"/>
        </w:rPr>
        <w:t>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79879CEF">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本项目采购标的对应的中小企业划分标准所属行业为：</w:t>
      </w:r>
      <w:r>
        <w:rPr>
          <w:rFonts w:hint="eastAsia" w:ascii="宋体" w:hAnsi="宋体" w:cs="宋体"/>
          <w:sz w:val="24"/>
          <w:szCs w:val="24"/>
          <w:highlight w:val="none"/>
          <w:u w:val="single"/>
          <w:lang w:val="en-US" w:eastAsia="zh-CN"/>
        </w:rPr>
        <w:t>工业</w:t>
      </w:r>
      <w:r>
        <w:rPr>
          <w:rFonts w:hint="eastAsia" w:ascii="宋体" w:hAnsi="宋体" w:cs="宋体"/>
          <w:sz w:val="24"/>
          <w:szCs w:val="24"/>
          <w:highlight w:val="none"/>
        </w:rPr>
        <w:t>。根据《中小企业划型标准规定》工信部联企业[2011]300号规定，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2A55C0">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（二）本项目的特定资格要求</w:t>
      </w:r>
      <w:r>
        <w:rPr>
          <w:rFonts w:hint="eastAsia" w:ascii="宋体" w:hAnsi="宋体" w:cs="宋体"/>
          <w:sz w:val="24"/>
          <w:szCs w:val="24"/>
          <w:highlight w:val="none"/>
          <w:lang w:val="zh-CN"/>
        </w:rPr>
        <w:t>：</w:t>
      </w:r>
      <w:r>
        <w:rPr>
          <w:rFonts w:hint="eastAsia" w:ascii="宋体" w:hAnsi="宋体" w:cs="宋体"/>
          <w:sz w:val="24"/>
          <w:szCs w:val="24"/>
          <w:highlight w:val="none"/>
        </w:rPr>
        <w:t>无。</w:t>
      </w:r>
    </w:p>
    <w:p w14:paraId="7A64110A">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（三）拒绝下述供应商参加本次采购活动</w:t>
      </w:r>
    </w:p>
    <w:p w14:paraId="49189C09">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1.单位负责人为同一人或者存在直接控股、管理关系的不同供应商，不得参加同一合同项下的政府采购活动。</w:t>
      </w:r>
    </w:p>
    <w:p w14:paraId="6D768320">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2.为采购项目提供整体设计、规范编制或者项目管理、监理、检测等服务的供应商，不得参加本项目的采购活动。</w:t>
      </w:r>
    </w:p>
    <w:p w14:paraId="6843ADD6">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3.供应商被“信用中国”网站（www.creditchina.gov.cn）、“中国政府采购网”(www.ccgp.gov.cn)列入失信被执行人、重大税收违法案件当事人名单、政府采购严重违法失信行为记录名单。</w:t>
      </w:r>
    </w:p>
    <w:p w14:paraId="78CA650D">
      <w:pPr>
        <w:pStyle w:val="236"/>
        <w:pageBreakBefore w:val="0"/>
        <w:widowControl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三、获取</w:t>
      </w:r>
      <w:bookmarkEnd w:id="17"/>
      <w:bookmarkEnd w:id="18"/>
      <w:bookmarkEnd w:id="19"/>
      <w:bookmarkEnd w:id="20"/>
      <w:bookmarkEnd w:id="21"/>
      <w:r>
        <w:rPr>
          <w:rFonts w:hint="eastAsia" w:ascii="宋体" w:hAnsi="宋体" w:cs="宋体"/>
          <w:b w:val="0"/>
          <w:bCs w:val="0"/>
          <w:sz w:val="24"/>
          <w:szCs w:val="24"/>
          <w:highlight w:val="none"/>
        </w:rPr>
        <w:t>磋商文件</w:t>
      </w:r>
    </w:p>
    <w:p w14:paraId="23BD9E9A">
      <w:pPr>
        <w:pageBreakBefore w:val="0"/>
        <w:widowControl w:val="0"/>
        <w:spacing w:line="400" w:lineRule="exact"/>
        <w:ind w:firstLine="480"/>
        <w:rPr>
          <w:rFonts w:ascii="宋体" w:hAnsi="宋体" w:cs="宋体"/>
          <w:sz w:val="24"/>
          <w:szCs w:val="24"/>
          <w:highlight w:val="none"/>
        </w:rPr>
      </w:pPr>
      <w:bookmarkStart w:id="22" w:name="_Toc28359082"/>
      <w:bookmarkStart w:id="23" w:name="_Toc28359005"/>
      <w:bookmarkStart w:id="24" w:name="_Toc38985266"/>
      <w:bookmarkStart w:id="25" w:name="_Toc35393793"/>
      <w:bookmarkStart w:id="26" w:name="_Toc35393624"/>
      <w:r>
        <w:rPr>
          <w:rFonts w:hint="eastAsia" w:ascii="宋体" w:hAnsi="宋体" w:cs="宋体"/>
          <w:sz w:val="24"/>
          <w:szCs w:val="24"/>
          <w:highlight w:val="none"/>
        </w:rPr>
        <w:t>1.时间：自磋商文件公告发布之日起。</w:t>
      </w:r>
    </w:p>
    <w:p w14:paraId="72B49EC3">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2.方式：网上免费下载。</w:t>
      </w:r>
    </w:p>
    <w:p w14:paraId="15636719">
      <w:pPr>
        <w:pStyle w:val="236"/>
        <w:pageBreakBefore w:val="0"/>
        <w:widowControl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四、提交</w:t>
      </w:r>
      <w:bookmarkEnd w:id="22"/>
      <w:bookmarkEnd w:id="23"/>
      <w:r>
        <w:rPr>
          <w:rFonts w:hint="eastAsia" w:ascii="宋体" w:hAnsi="宋体" w:cs="宋体"/>
          <w:b w:val="0"/>
          <w:bCs w:val="0"/>
          <w:sz w:val="24"/>
          <w:szCs w:val="24"/>
          <w:highlight w:val="none"/>
        </w:rPr>
        <w:t>响应文件截止时间</w:t>
      </w:r>
      <w:bookmarkEnd w:id="24"/>
      <w:bookmarkEnd w:id="25"/>
      <w:bookmarkEnd w:id="26"/>
    </w:p>
    <w:p w14:paraId="0DEF1C9C">
      <w:pPr>
        <w:pageBreakBefore w:val="0"/>
        <w:widowControl w:val="0"/>
        <w:spacing w:line="400" w:lineRule="exact"/>
        <w:ind w:firstLine="480"/>
        <w:rPr>
          <w:rFonts w:ascii="宋体" w:hAnsi="宋体" w:cs="宋体"/>
          <w:bCs/>
          <w:sz w:val="24"/>
          <w:szCs w:val="24"/>
          <w:highlight w:val="none"/>
        </w:rPr>
      </w:pPr>
      <w:r>
        <w:rPr>
          <w:rFonts w:hint="eastAsia" w:ascii="宋体" w:hAnsi="宋体" w:cs="宋体"/>
          <w:bCs/>
          <w:color w:val="auto"/>
          <w:sz w:val="24"/>
          <w:szCs w:val="24"/>
          <w:highlight w:val="none"/>
          <w:u w:val="single"/>
        </w:rPr>
        <w:t>202</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11</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18</w:t>
      </w:r>
      <w:r>
        <w:rPr>
          <w:rFonts w:hint="eastAsia" w:ascii="宋体" w:hAnsi="宋体" w:cs="宋体"/>
          <w:bCs/>
          <w:color w:val="auto"/>
          <w:sz w:val="24"/>
          <w:szCs w:val="24"/>
          <w:highlight w:val="none"/>
          <w:u w:val="single"/>
        </w:rPr>
        <w:t>日09点30分</w:t>
      </w:r>
      <w:r>
        <w:rPr>
          <w:rFonts w:hint="eastAsia" w:ascii="宋体" w:hAnsi="宋体" w:cs="宋体"/>
          <w:bCs/>
          <w:sz w:val="24"/>
          <w:szCs w:val="24"/>
          <w:highlight w:val="none"/>
        </w:rPr>
        <w:t>（北京时间）。</w:t>
      </w:r>
    </w:p>
    <w:p w14:paraId="3873429E">
      <w:pPr>
        <w:pStyle w:val="236"/>
        <w:pageBreakBefore w:val="0"/>
        <w:widowControl w:val="0"/>
        <w:spacing w:before="0" w:after="0" w:line="400" w:lineRule="exact"/>
        <w:ind w:firstLine="480"/>
        <w:rPr>
          <w:rFonts w:ascii="宋体" w:hAnsi="宋体" w:cs="宋体"/>
          <w:b w:val="0"/>
          <w:bCs w:val="0"/>
          <w:sz w:val="24"/>
          <w:szCs w:val="24"/>
          <w:highlight w:val="none"/>
        </w:rPr>
      </w:pPr>
      <w:bookmarkStart w:id="27" w:name="_Toc35393794"/>
      <w:bookmarkStart w:id="28" w:name="_Toc35393625"/>
      <w:bookmarkStart w:id="29" w:name="_Toc38985267"/>
      <w:bookmarkStart w:id="30" w:name="_Toc28359084"/>
      <w:bookmarkStart w:id="31" w:name="_Toc28359007"/>
      <w:r>
        <w:rPr>
          <w:rFonts w:hint="eastAsia" w:ascii="宋体" w:hAnsi="宋体" w:cs="宋体"/>
          <w:b w:val="0"/>
          <w:bCs w:val="0"/>
          <w:sz w:val="24"/>
          <w:szCs w:val="24"/>
          <w:highlight w:val="none"/>
        </w:rPr>
        <w:t>五、公告期限</w:t>
      </w:r>
      <w:bookmarkEnd w:id="27"/>
      <w:bookmarkEnd w:id="28"/>
      <w:bookmarkEnd w:id="29"/>
      <w:bookmarkEnd w:id="30"/>
      <w:bookmarkEnd w:id="31"/>
    </w:p>
    <w:p w14:paraId="24AA8849">
      <w:pPr>
        <w:pageBreakBefore w:val="0"/>
        <w:widowControl w:val="0"/>
        <w:spacing w:line="400" w:lineRule="exact"/>
        <w:ind w:firstLine="480"/>
        <w:rPr>
          <w:rFonts w:ascii="宋体" w:hAnsi="宋体" w:cs="宋体"/>
          <w:sz w:val="24"/>
          <w:szCs w:val="24"/>
          <w:highlight w:val="none"/>
        </w:rPr>
      </w:pPr>
      <w:bookmarkStart w:id="32" w:name="_Toc38985268"/>
      <w:bookmarkStart w:id="33" w:name="_Toc35393795"/>
      <w:bookmarkStart w:id="34" w:name="_Toc35393626"/>
      <w:r>
        <w:rPr>
          <w:rFonts w:hint="eastAsia" w:ascii="宋体" w:hAnsi="宋体" w:cs="宋体"/>
          <w:sz w:val="24"/>
          <w:szCs w:val="24"/>
          <w:highlight w:val="none"/>
        </w:rPr>
        <w:t>磋商公告及磋商文件公告期限为自本公告发布之日起3个工作日。</w:t>
      </w:r>
    </w:p>
    <w:p w14:paraId="7F433274">
      <w:pPr>
        <w:pStyle w:val="236"/>
        <w:pageBreakBefore w:val="0"/>
        <w:widowControl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六、其他补充事宜</w:t>
      </w:r>
      <w:bookmarkEnd w:id="32"/>
      <w:bookmarkEnd w:id="33"/>
      <w:bookmarkEnd w:id="34"/>
    </w:p>
    <w:p w14:paraId="0B192CFF">
      <w:pPr>
        <w:pageBreakBefore w:val="0"/>
        <w:widowControl w:val="0"/>
        <w:spacing w:line="400" w:lineRule="exact"/>
        <w:ind w:firstLine="480"/>
        <w:rPr>
          <w:rFonts w:ascii="宋体" w:hAnsi="宋体" w:cs="宋体"/>
          <w:sz w:val="24"/>
          <w:szCs w:val="24"/>
          <w:highlight w:val="none"/>
        </w:rPr>
      </w:pPr>
      <w:bookmarkStart w:id="35" w:name="_Toc38985269"/>
      <w:bookmarkStart w:id="36" w:name="_Toc28359008"/>
      <w:bookmarkStart w:id="37" w:name="_Toc28359085"/>
      <w:bookmarkStart w:id="38" w:name="_Toc35393627"/>
      <w:bookmarkStart w:id="39" w:name="_Toc35393796"/>
      <w:r>
        <w:rPr>
          <w:rFonts w:hint="eastAsia" w:ascii="宋体" w:hAnsi="宋体" w:cs="宋体"/>
          <w:sz w:val="24"/>
          <w:szCs w:val="24"/>
          <w:highlight w:val="none"/>
        </w:rPr>
        <w:t>1.本次磋商不收取磋商保证金。</w:t>
      </w:r>
    </w:p>
    <w:p w14:paraId="1A4CE0F2">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2.现场勘察及答疑</w:t>
      </w:r>
    </w:p>
    <w:p w14:paraId="66345B98">
      <w:pPr>
        <w:pageBreakBefore w:val="0"/>
        <w:widowControl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本项目不组织集中勘察及答疑，供应商如对采购需求有疑问，请咨询采购单位联系人。</w:t>
      </w:r>
    </w:p>
    <w:p w14:paraId="30BABFCF">
      <w:pPr>
        <w:pageBreakBefore w:val="0"/>
        <w:widowControl w:val="0"/>
        <w:pBdr>
          <w:top w:val="none" w:color="000000" w:sz="0" w:space="0"/>
          <w:left w:val="none" w:color="000000" w:sz="0" w:space="0"/>
          <w:bottom w:val="none" w:color="000000" w:sz="0" w:space="0"/>
          <w:right w:val="none" w:color="000000" w:sz="0" w:space="0"/>
        </w:pBdr>
        <w:spacing w:line="400" w:lineRule="exact"/>
        <w:ind w:firstLine="480"/>
        <w:rPr>
          <w:rFonts w:ascii="宋体" w:hAnsi="宋体" w:cs="宋体"/>
          <w:sz w:val="24"/>
          <w:szCs w:val="24"/>
          <w:highlight w:val="none"/>
        </w:rPr>
      </w:pPr>
      <w:r>
        <w:rPr>
          <w:rFonts w:hint="eastAsia" w:ascii="宋体" w:hAnsi="宋体" w:cs="宋体"/>
          <w:sz w:val="24"/>
          <w:szCs w:val="24"/>
          <w:highlight w:val="none"/>
        </w:rPr>
        <w:t>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p>
    <w:p w14:paraId="5A0B6D92">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cs="宋体"/>
          <w:sz w:val="24"/>
          <w:szCs w:val="24"/>
          <w:highlight w:val="none"/>
        </w:rPr>
      </w:pPr>
      <w:r>
        <w:rPr>
          <w:rFonts w:hint="eastAsia" w:ascii="宋体" w:hAnsi="宋体" w:cs="宋体"/>
          <w:sz w:val="24"/>
          <w:szCs w:val="24"/>
          <w:highlight w:val="none"/>
        </w:rPr>
        <w:t>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p>
    <w:p w14:paraId="102C9552">
      <w:pPr>
        <w:keepNext w:val="0"/>
        <w:keepLines w:val="0"/>
        <w:pageBreakBefore w:val="0"/>
        <w:widowControl w:val="0"/>
        <w:spacing w:line="400" w:lineRule="exact"/>
        <w:ind w:firstLine="480"/>
        <w:jc w:val="left"/>
        <w:rPr>
          <w:rFonts w:ascii="宋体" w:hAnsi="宋体" w:cs="宋体"/>
          <w:sz w:val="24"/>
          <w:szCs w:val="24"/>
          <w:highlight w:val="none"/>
        </w:rPr>
      </w:pPr>
      <w:r>
        <w:rPr>
          <w:rFonts w:hint="eastAsia" w:ascii="宋体" w:hAnsi="宋体" w:cs="宋体"/>
          <w:sz w:val="24"/>
          <w:szCs w:val="24"/>
          <w:highlight w:val="none"/>
        </w:rPr>
        <w:t>4.有关本次磋商的事项若存在变动或修改，请及时关注“江苏政府采购网”（www.ccgp-jiangsu.gov.cn）更正公告。</w:t>
      </w:r>
    </w:p>
    <w:p w14:paraId="4ABE9AF1">
      <w:pPr>
        <w:pStyle w:val="236"/>
        <w:pageBreakBefore w:val="0"/>
        <w:widowControl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七、本次磋商联系方式</w:t>
      </w:r>
      <w:bookmarkEnd w:id="35"/>
      <w:bookmarkEnd w:id="36"/>
      <w:bookmarkEnd w:id="37"/>
      <w:bookmarkEnd w:id="38"/>
      <w:bookmarkEnd w:id="39"/>
    </w:p>
    <w:p w14:paraId="700B9106">
      <w:pPr>
        <w:spacing w:line="264" w:lineRule="auto"/>
        <w:ind w:firstLine="480"/>
        <w:rPr>
          <w:rFonts w:ascii="宋体" w:hAnsi="宋体"/>
          <w:sz w:val="24"/>
          <w:szCs w:val="24"/>
        </w:rPr>
      </w:pPr>
      <w:r>
        <w:rPr>
          <w:rFonts w:hint="eastAsia" w:ascii="宋体" w:hAnsi="宋体"/>
          <w:sz w:val="24"/>
          <w:szCs w:val="24"/>
        </w:rPr>
        <w:t>1.采购人信息</w:t>
      </w:r>
    </w:p>
    <w:p w14:paraId="7E5ACD33">
      <w:pPr>
        <w:spacing w:line="264" w:lineRule="auto"/>
        <w:ind w:firstLine="480"/>
        <w:rPr>
          <w:rFonts w:ascii="宋体" w:hAnsi="宋体"/>
          <w:sz w:val="24"/>
          <w:szCs w:val="24"/>
        </w:rPr>
      </w:pPr>
      <w:r>
        <w:rPr>
          <w:rFonts w:hint="eastAsia" w:ascii="宋体" w:hAnsi="宋体"/>
          <w:sz w:val="24"/>
          <w:szCs w:val="24"/>
        </w:rPr>
        <w:t>名  称：</w:t>
      </w:r>
      <w:r>
        <w:rPr>
          <w:rFonts w:hint="eastAsia" w:ascii="宋体" w:hAnsi="宋体"/>
          <w:sz w:val="24"/>
          <w:szCs w:val="24"/>
          <w:u w:val="single"/>
          <w:lang w:val="en-US" w:eastAsia="zh-CN"/>
        </w:rPr>
        <w:t>浦口区城市数字治理中心</w:t>
      </w:r>
      <w:r>
        <w:rPr>
          <w:rFonts w:hint="eastAsia" w:ascii="宋体" w:hAnsi="宋体"/>
          <w:sz w:val="24"/>
          <w:szCs w:val="24"/>
          <w:u w:val="single"/>
        </w:rPr>
        <w:t xml:space="preserve"> </w:t>
      </w:r>
      <w:r>
        <w:rPr>
          <w:rFonts w:hint="eastAsia" w:ascii="宋体" w:hAnsi="宋体"/>
          <w:sz w:val="24"/>
          <w:szCs w:val="24"/>
        </w:rPr>
        <w:t>　</w:t>
      </w:r>
    </w:p>
    <w:p w14:paraId="1FCEBAC3">
      <w:pPr>
        <w:spacing w:line="264" w:lineRule="auto"/>
        <w:ind w:firstLine="480"/>
        <w:rPr>
          <w:rFonts w:ascii="宋体" w:hAnsi="宋体"/>
          <w:sz w:val="24"/>
          <w:szCs w:val="24"/>
        </w:rPr>
      </w:pPr>
      <w:r>
        <w:rPr>
          <w:rFonts w:hint="eastAsia" w:ascii="宋体" w:hAnsi="宋体"/>
          <w:sz w:val="24"/>
          <w:szCs w:val="24"/>
        </w:rPr>
        <w:t>地  址：</w:t>
      </w:r>
      <w:r>
        <w:rPr>
          <w:rFonts w:hint="eastAsia" w:ascii="宋体" w:hAnsi="宋体"/>
          <w:sz w:val="24"/>
          <w:szCs w:val="24"/>
          <w:u w:val="single"/>
          <w:lang w:eastAsia="zh-CN"/>
        </w:rPr>
        <w:t>南京市浦口区</w:t>
      </w:r>
      <w:r>
        <w:rPr>
          <w:rFonts w:hint="eastAsia" w:ascii="宋体" w:hAnsi="宋体"/>
          <w:sz w:val="24"/>
          <w:szCs w:val="24"/>
          <w:u w:val="single"/>
          <w:lang w:val="en-US" w:eastAsia="zh-CN"/>
        </w:rPr>
        <w:t>建设路9号</w:t>
      </w:r>
      <w:r>
        <w:rPr>
          <w:rFonts w:hint="eastAsia" w:ascii="宋体" w:hAnsi="宋体"/>
          <w:sz w:val="24"/>
          <w:szCs w:val="24"/>
          <w:u w:val="single"/>
        </w:rPr>
        <w:t xml:space="preserve">   </w:t>
      </w:r>
      <w:r>
        <w:rPr>
          <w:rFonts w:hint="eastAsia" w:ascii="宋体" w:hAnsi="宋体"/>
          <w:sz w:val="24"/>
          <w:szCs w:val="24"/>
        </w:rPr>
        <w:t>　　　　　　　　　　　　</w:t>
      </w:r>
    </w:p>
    <w:p w14:paraId="0DBA14C4">
      <w:pPr>
        <w:spacing w:line="264" w:lineRule="auto"/>
        <w:ind w:firstLine="480"/>
        <w:rPr>
          <w:rFonts w:hint="default" w:ascii="宋体" w:hAnsi="宋体" w:eastAsia="宋体"/>
          <w:sz w:val="24"/>
          <w:szCs w:val="24"/>
          <w:lang w:val="en-US" w:eastAsia="zh-CN"/>
        </w:rPr>
      </w:pPr>
      <w:r>
        <w:rPr>
          <w:rFonts w:hint="eastAsia" w:ascii="宋体" w:hAnsi="宋体"/>
          <w:sz w:val="24"/>
          <w:szCs w:val="24"/>
        </w:rPr>
        <w:t>联系人：</w:t>
      </w:r>
      <w:r>
        <w:rPr>
          <w:rFonts w:hint="eastAsia" w:ascii="宋体" w:hAnsi="宋体"/>
          <w:sz w:val="24"/>
          <w:szCs w:val="24"/>
          <w:u w:val="single"/>
          <w:lang w:val="en-US" w:eastAsia="zh-CN"/>
        </w:rPr>
        <w:t>周工</w:t>
      </w:r>
    </w:p>
    <w:p w14:paraId="5F0A3894">
      <w:pPr>
        <w:spacing w:line="264" w:lineRule="auto"/>
        <w:ind w:firstLine="480"/>
        <w:rPr>
          <w:rFonts w:ascii="宋体" w:hAnsi="宋体"/>
          <w:sz w:val="24"/>
          <w:szCs w:val="24"/>
        </w:rPr>
      </w:pPr>
      <w:r>
        <w:rPr>
          <w:rFonts w:hint="eastAsia" w:ascii="宋体" w:hAnsi="宋体"/>
          <w:sz w:val="24"/>
          <w:szCs w:val="24"/>
        </w:rPr>
        <w:t>联系电话：</w:t>
      </w:r>
      <w:r>
        <w:rPr>
          <w:rFonts w:hint="eastAsia" w:ascii="宋体" w:hAnsi="宋体"/>
          <w:sz w:val="24"/>
          <w:szCs w:val="24"/>
          <w:u w:val="single"/>
          <w:lang w:eastAsia="zh-CN"/>
        </w:rPr>
        <w:t>025-58</w:t>
      </w:r>
      <w:r>
        <w:rPr>
          <w:rFonts w:hint="eastAsia" w:ascii="宋体" w:hAnsi="宋体"/>
          <w:sz w:val="24"/>
          <w:szCs w:val="24"/>
          <w:u w:val="single"/>
          <w:lang w:val="en-US" w:eastAsia="zh-CN"/>
        </w:rPr>
        <w:t>311190</w:t>
      </w:r>
      <w:r>
        <w:rPr>
          <w:rFonts w:hint="eastAsia" w:ascii="宋体" w:hAnsi="宋体"/>
          <w:sz w:val="24"/>
          <w:szCs w:val="24"/>
        </w:rPr>
        <w:t>　　　　　　　　　</w:t>
      </w:r>
      <w:bookmarkStart w:id="40" w:name="_Toc28359086"/>
      <w:bookmarkStart w:id="41" w:name="_Toc28359009"/>
    </w:p>
    <w:p w14:paraId="17471515">
      <w:pPr>
        <w:spacing w:line="264" w:lineRule="auto"/>
        <w:ind w:firstLine="480"/>
        <w:rPr>
          <w:rFonts w:ascii="宋体" w:hAnsi="宋体"/>
          <w:sz w:val="24"/>
          <w:szCs w:val="24"/>
        </w:rPr>
      </w:pPr>
      <w:r>
        <w:rPr>
          <w:rFonts w:hint="eastAsia" w:ascii="宋体" w:hAnsi="宋体"/>
          <w:sz w:val="24"/>
          <w:szCs w:val="24"/>
        </w:rPr>
        <w:t>2.南京市公共资源交易中心</w:t>
      </w:r>
      <w:bookmarkEnd w:id="40"/>
      <w:bookmarkEnd w:id="41"/>
      <w:r>
        <w:rPr>
          <w:rFonts w:hint="eastAsia" w:ascii="宋体" w:hAnsi="宋体"/>
          <w:sz w:val="24"/>
          <w:szCs w:val="24"/>
        </w:rPr>
        <w:t>浦口分中心信息</w:t>
      </w:r>
    </w:p>
    <w:p w14:paraId="68FDB62F">
      <w:pPr>
        <w:spacing w:line="264" w:lineRule="auto"/>
        <w:ind w:firstLine="480"/>
        <w:rPr>
          <w:rFonts w:ascii="宋体" w:hAnsi="宋体"/>
          <w:sz w:val="24"/>
          <w:szCs w:val="24"/>
          <w:highlight w:val="green"/>
        </w:rPr>
      </w:pPr>
      <w:r>
        <w:rPr>
          <w:rFonts w:hint="eastAsia" w:ascii="宋体" w:hAnsi="宋体"/>
          <w:sz w:val="24"/>
          <w:szCs w:val="24"/>
        </w:rPr>
        <w:t>地　址：</w:t>
      </w:r>
      <w:r>
        <w:rPr>
          <w:rFonts w:hint="eastAsia" w:ascii="宋体" w:hAnsi="宋体"/>
          <w:sz w:val="24"/>
          <w:szCs w:val="24"/>
          <w:u w:val="single"/>
          <w:lang w:val="zh-CN"/>
        </w:rPr>
        <w:t xml:space="preserve">南京市浦口区江浦街道象山路4号浦口市民中心B幢五楼受理大厅 </w:t>
      </w:r>
    </w:p>
    <w:p w14:paraId="182883FF">
      <w:pPr>
        <w:spacing w:line="264" w:lineRule="auto"/>
        <w:ind w:firstLine="480"/>
        <w:rPr>
          <w:rFonts w:hint="default" w:ascii="宋体" w:hAnsi="宋体" w:eastAsia="宋体"/>
          <w:color w:val="auto"/>
          <w:sz w:val="24"/>
          <w:szCs w:val="24"/>
          <w:u w:val="single"/>
          <w:lang w:val="en-US" w:eastAsia="zh-CN"/>
        </w:rPr>
      </w:pPr>
      <w:r>
        <w:rPr>
          <w:rFonts w:hint="eastAsia" w:ascii="宋体" w:hAnsi="宋体"/>
          <w:color w:val="auto"/>
          <w:sz w:val="24"/>
          <w:szCs w:val="24"/>
        </w:rPr>
        <w:t>联系人：</w:t>
      </w:r>
      <w:r>
        <w:rPr>
          <w:rFonts w:hint="eastAsia" w:ascii="宋体" w:hAnsi="宋体"/>
          <w:color w:val="auto"/>
          <w:sz w:val="24"/>
          <w:szCs w:val="24"/>
          <w:lang w:val="en-US" w:eastAsia="zh-CN"/>
        </w:rPr>
        <w:t>杨工</w:t>
      </w:r>
    </w:p>
    <w:p w14:paraId="2D80A15E">
      <w:pPr>
        <w:spacing w:line="264" w:lineRule="auto"/>
        <w:ind w:firstLine="480"/>
        <w:rPr>
          <w:rFonts w:hint="default" w:eastAsia="宋体"/>
          <w:color w:val="auto"/>
          <w:lang w:val="en-US" w:eastAsia="zh-CN"/>
        </w:rPr>
      </w:pPr>
      <w:r>
        <w:rPr>
          <w:rFonts w:hint="eastAsia" w:ascii="宋体" w:hAnsi="宋体"/>
          <w:color w:val="auto"/>
          <w:sz w:val="24"/>
          <w:szCs w:val="24"/>
        </w:rPr>
        <w:t>联系电话：</w:t>
      </w:r>
      <w:r>
        <w:rPr>
          <w:rFonts w:hint="eastAsia" w:ascii="宋体" w:hAnsi="宋体"/>
          <w:color w:val="auto"/>
          <w:sz w:val="24"/>
          <w:szCs w:val="24"/>
          <w:lang w:val="en-US" w:eastAsia="zh-CN"/>
        </w:rPr>
        <w:t>025-69659043</w:t>
      </w:r>
    </w:p>
    <w:p w14:paraId="0AF059DD">
      <w:pPr>
        <w:pStyle w:val="245"/>
        <w:spacing w:line="360" w:lineRule="auto"/>
        <w:rPr>
          <w:rFonts w:ascii="宋体" w:hAnsi="宋体" w:eastAsia="宋体"/>
          <w:sz w:val="24"/>
          <w:szCs w:val="24"/>
          <w:highlight w:val="none"/>
        </w:rPr>
      </w:pPr>
    </w:p>
    <w:p w14:paraId="3D7F58C7">
      <w:pPr>
        <w:rPr>
          <w:rFonts w:ascii="Arial" w:hAnsi="Arial" w:eastAsia="Arial" w:cs="Arial"/>
          <w:highlight w:val="none"/>
        </w:rPr>
      </w:pPr>
      <w:bookmarkStart w:id="42" w:name="_Toc120614211"/>
      <w:r>
        <w:rPr>
          <w:rFonts w:hint="eastAsia" w:ascii="Arial" w:hAnsi="Arial" w:eastAsia="Arial" w:cs="Arial"/>
          <w:highlight w:val="none"/>
        </w:rPr>
        <w:br w:type="page" w:clear="all"/>
      </w:r>
    </w:p>
    <w:p w14:paraId="7D328448">
      <w:pPr>
        <w:pStyle w:val="5"/>
        <w:jc w:val="center"/>
        <w:rPr>
          <w:highlight w:val="none"/>
        </w:rPr>
      </w:pPr>
      <w:r>
        <w:rPr>
          <w:rFonts w:hint="eastAsia"/>
          <w:highlight w:val="none"/>
        </w:rPr>
        <w:t>第二章</w:t>
      </w:r>
      <w:bookmarkEnd w:id="1"/>
      <w:bookmarkEnd w:id="2"/>
      <w:bookmarkEnd w:id="3"/>
      <w:bookmarkEnd w:id="4"/>
      <w:bookmarkEnd w:id="5"/>
      <w:bookmarkEnd w:id="42"/>
      <w:r>
        <w:rPr>
          <w:rFonts w:hint="eastAsia"/>
          <w:highlight w:val="none"/>
        </w:rPr>
        <w:t>供应商须知</w:t>
      </w:r>
    </w:p>
    <w:p w14:paraId="0422D5C0">
      <w:pPr>
        <w:pStyle w:val="236"/>
        <w:pageBreakBefore w:val="0"/>
        <w:spacing w:before="0" w:after="0" w:line="400" w:lineRule="exact"/>
        <w:ind w:firstLine="480"/>
        <w:rPr>
          <w:rFonts w:ascii="宋体" w:hAnsi="宋体" w:cs="宋体"/>
          <w:b w:val="0"/>
          <w:bCs w:val="0"/>
          <w:sz w:val="24"/>
          <w:szCs w:val="24"/>
          <w:highlight w:val="none"/>
        </w:rPr>
      </w:pPr>
      <w:bookmarkStart w:id="43" w:name="_Hlt26954739"/>
      <w:bookmarkEnd w:id="43"/>
      <w:bookmarkStart w:id="44" w:name="_Hlt26954852"/>
      <w:bookmarkEnd w:id="44"/>
      <w:bookmarkStart w:id="45" w:name="_Toc120614214"/>
      <w:bookmarkStart w:id="46" w:name="_Toc16938519"/>
      <w:bookmarkStart w:id="47" w:name="_Toc513029203"/>
      <w:bookmarkStart w:id="48" w:name="_Toc20823275"/>
      <w:bookmarkStart w:id="49" w:name="_Toc120614221"/>
      <w:bookmarkStart w:id="50" w:name="_Toc16938558"/>
      <w:bookmarkStart w:id="51" w:name="_Toc20823314"/>
      <w:bookmarkStart w:id="52" w:name="_Toc513029242"/>
      <w:bookmarkStart w:id="53" w:name="_Toc479757207"/>
      <w:r>
        <w:rPr>
          <w:rFonts w:hint="eastAsia" w:ascii="宋体" w:hAnsi="宋体" w:cs="宋体"/>
          <w:b w:val="0"/>
          <w:bCs w:val="0"/>
          <w:sz w:val="24"/>
          <w:szCs w:val="24"/>
          <w:highlight w:val="none"/>
        </w:rPr>
        <w:t>一、总则</w:t>
      </w:r>
      <w:bookmarkEnd w:id="45"/>
      <w:bookmarkEnd w:id="46"/>
      <w:bookmarkEnd w:id="47"/>
      <w:bookmarkEnd w:id="48"/>
    </w:p>
    <w:p w14:paraId="0009ADAE">
      <w:pPr>
        <w:pStyle w:val="237"/>
        <w:pageBreakBefore w:val="0"/>
        <w:spacing w:before="0" w:after="0" w:line="400" w:lineRule="exact"/>
        <w:ind w:firstLine="482"/>
        <w:rPr>
          <w:rFonts w:ascii="宋体" w:hAnsi="宋体" w:eastAsia="宋体" w:cs="宋体"/>
          <w:sz w:val="24"/>
          <w:szCs w:val="24"/>
          <w:highlight w:val="none"/>
        </w:rPr>
      </w:pPr>
      <w:bookmarkStart w:id="54" w:name="_Hlt16619475"/>
      <w:bookmarkEnd w:id="54"/>
      <w:bookmarkStart w:id="55" w:name="_Toc458694821"/>
      <w:bookmarkStart w:id="56" w:name="_Toc20823276"/>
      <w:bookmarkStart w:id="57" w:name="_Toc513029204"/>
      <w:bookmarkStart w:id="58" w:name="_Toc16938520"/>
      <w:r>
        <w:rPr>
          <w:rFonts w:hint="eastAsia" w:ascii="宋体" w:hAnsi="宋体" w:eastAsia="宋体" w:cs="宋体"/>
          <w:sz w:val="24"/>
          <w:szCs w:val="24"/>
          <w:highlight w:val="none"/>
        </w:rPr>
        <w:t>1</w:t>
      </w:r>
      <w:bookmarkEnd w:id="55"/>
      <w:r>
        <w:rPr>
          <w:rFonts w:hint="eastAsia" w:ascii="宋体" w:hAnsi="宋体" w:eastAsia="宋体" w:cs="宋体"/>
          <w:sz w:val="24"/>
          <w:szCs w:val="24"/>
          <w:highlight w:val="none"/>
        </w:rPr>
        <w:t>.采购方式</w:t>
      </w:r>
      <w:bookmarkEnd w:id="56"/>
      <w:bookmarkEnd w:id="57"/>
      <w:bookmarkEnd w:id="58"/>
    </w:p>
    <w:p w14:paraId="1267A5C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1.1本次政府采购活动采取竞争性磋商(以下简称“磋商”)方式，本磋商文件仅适用于磋商公告中所述项目。</w:t>
      </w:r>
    </w:p>
    <w:p w14:paraId="49A0B48C">
      <w:pPr>
        <w:pStyle w:val="237"/>
        <w:pageBreakBefore w:val="0"/>
        <w:spacing w:before="0" w:after="0" w:line="400" w:lineRule="exact"/>
        <w:ind w:firstLine="482"/>
        <w:rPr>
          <w:rFonts w:ascii="宋体" w:hAnsi="宋体" w:eastAsia="宋体" w:cs="宋体"/>
          <w:sz w:val="24"/>
          <w:szCs w:val="24"/>
          <w:highlight w:val="none"/>
        </w:rPr>
      </w:pPr>
      <w:bookmarkStart w:id="59" w:name="_Toc513029205"/>
      <w:bookmarkStart w:id="60" w:name="_Toc16938521"/>
      <w:bookmarkStart w:id="61" w:name="_Toc20823277"/>
      <w:r>
        <w:rPr>
          <w:rFonts w:hint="eastAsia" w:ascii="宋体" w:hAnsi="宋体" w:eastAsia="宋体" w:cs="宋体"/>
          <w:sz w:val="24"/>
          <w:szCs w:val="24"/>
          <w:highlight w:val="none"/>
        </w:rPr>
        <w:t>2.合格的</w:t>
      </w:r>
      <w:bookmarkEnd w:id="59"/>
      <w:bookmarkEnd w:id="60"/>
      <w:bookmarkEnd w:id="61"/>
      <w:r>
        <w:rPr>
          <w:rFonts w:hint="eastAsia" w:ascii="宋体" w:hAnsi="宋体" w:eastAsia="宋体" w:cs="宋体"/>
          <w:sz w:val="24"/>
          <w:szCs w:val="24"/>
          <w:highlight w:val="none"/>
        </w:rPr>
        <w:t>供应商</w:t>
      </w:r>
    </w:p>
    <w:p w14:paraId="6028137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2.1满足磋商公告对供应商资格要求的规定。</w:t>
      </w:r>
    </w:p>
    <w:p w14:paraId="5528EAB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2.2满足本磋商文件规定的实质性要求和条件。</w:t>
      </w:r>
    </w:p>
    <w:p w14:paraId="33E69FBD">
      <w:pPr>
        <w:pStyle w:val="237"/>
        <w:pageBreakBefore w:val="0"/>
        <w:spacing w:before="0" w:after="0" w:line="400" w:lineRule="exact"/>
        <w:ind w:firstLine="482"/>
        <w:rPr>
          <w:rFonts w:ascii="宋体" w:hAnsi="宋体" w:eastAsia="宋体" w:cs="宋体"/>
          <w:sz w:val="24"/>
          <w:szCs w:val="24"/>
          <w:highlight w:val="none"/>
        </w:rPr>
      </w:pPr>
      <w:bookmarkStart w:id="62" w:name="_Toc16938522"/>
      <w:bookmarkStart w:id="63" w:name="_Toc513029206"/>
      <w:bookmarkStart w:id="64" w:name="_Toc20823278"/>
      <w:r>
        <w:rPr>
          <w:rFonts w:hint="eastAsia" w:ascii="宋体" w:hAnsi="宋体" w:eastAsia="宋体" w:cs="宋体"/>
          <w:sz w:val="24"/>
          <w:szCs w:val="24"/>
          <w:highlight w:val="none"/>
        </w:rPr>
        <w:t>3.适用法律</w:t>
      </w:r>
      <w:bookmarkEnd w:id="62"/>
      <w:bookmarkEnd w:id="63"/>
      <w:bookmarkEnd w:id="64"/>
    </w:p>
    <w:p w14:paraId="6C2955F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3.1本次磋商及由此产生的合同受中华人民共和国有关的法律法规制约和保护。</w:t>
      </w:r>
    </w:p>
    <w:p w14:paraId="48A2179F">
      <w:pPr>
        <w:pStyle w:val="237"/>
        <w:pageBreakBefore w:val="0"/>
        <w:spacing w:before="0" w:after="0" w:line="400" w:lineRule="exact"/>
        <w:ind w:firstLine="482"/>
        <w:rPr>
          <w:rFonts w:ascii="宋体" w:hAnsi="宋体" w:eastAsia="宋体" w:cs="宋体"/>
          <w:sz w:val="24"/>
          <w:szCs w:val="24"/>
          <w:highlight w:val="none"/>
        </w:rPr>
      </w:pPr>
      <w:bookmarkStart w:id="65" w:name="_Toc20823279"/>
      <w:bookmarkStart w:id="66" w:name="_Toc16938523"/>
      <w:bookmarkStart w:id="67" w:name="_Toc513029207"/>
      <w:bookmarkStart w:id="68" w:name="_Toc462564067"/>
      <w:r>
        <w:rPr>
          <w:rFonts w:hint="eastAsia" w:ascii="宋体" w:hAnsi="宋体" w:eastAsia="宋体" w:cs="宋体"/>
          <w:sz w:val="24"/>
          <w:szCs w:val="24"/>
          <w:highlight w:val="none"/>
        </w:rPr>
        <w:t>4.磋商费用</w:t>
      </w:r>
      <w:bookmarkEnd w:id="65"/>
      <w:bookmarkEnd w:id="66"/>
      <w:bookmarkEnd w:id="67"/>
      <w:bookmarkEnd w:id="68"/>
    </w:p>
    <w:p w14:paraId="51ABF88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4.1供应商应自行承担所有与参加磋商有关的费用，无论磋商过程中的做法和结果如何，交易中心在任何情况下均无义务和责任承担这些费用。</w:t>
      </w:r>
    </w:p>
    <w:p w14:paraId="1E851D6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4.2本次磋商交易中心和采购人不收取采购文件工本费与成交服务费。</w:t>
      </w:r>
    </w:p>
    <w:p w14:paraId="5C644B86">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5.磋商文件的约束力</w:t>
      </w:r>
    </w:p>
    <w:p w14:paraId="463311F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5.1供应商一旦参加本项目采购活动，即被认为接受了本磋商文件的规定和约束。</w:t>
      </w:r>
    </w:p>
    <w:p w14:paraId="355D7568">
      <w:pPr>
        <w:pStyle w:val="236"/>
        <w:pageBreakBefore w:val="0"/>
        <w:spacing w:before="0" w:after="0" w:line="400" w:lineRule="exact"/>
        <w:ind w:firstLine="480"/>
        <w:rPr>
          <w:rFonts w:ascii="宋体" w:hAnsi="宋体" w:cs="宋体"/>
          <w:b w:val="0"/>
          <w:bCs w:val="0"/>
          <w:sz w:val="24"/>
          <w:szCs w:val="24"/>
          <w:highlight w:val="none"/>
        </w:rPr>
      </w:pPr>
      <w:bookmarkStart w:id="69" w:name="_Toc16938525"/>
      <w:bookmarkStart w:id="70" w:name="_Toc20823281"/>
      <w:bookmarkStart w:id="71" w:name="_Toc120614215"/>
      <w:bookmarkStart w:id="72" w:name="_Toc513029209"/>
      <w:r>
        <w:rPr>
          <w:rFonts w:hint="eastAsia" w:ascii="宋体" w:hAnsi="宋体" w:cs="宋体"/>
          <w:b w:val="0"/>
          <w:bCs w:val="0"/>
          <w:sz w:val="24"/>
          <w:szCs w:val="24"/>
          <w:highlight w:val="none"/>
        </w:rPr>
        <w:t>二、</w:t>
      </w:r>
      <w:bookmarkEnd w:id="69"/>
      <w:bookmarkEnd w:id="70"/>
      <w:bookmarkEnd w:id="71"/>
      <w:bookmarkEnd w:id="72"/>
      <w:r>
        <w:rPr>
          <w:rFonts w:hint="eastAsia" w:ascii="宋体" w:hAnsi="宋体" w:cs="宋体"/>
          <w:b w:val="0"/>
          <w:bCs w:val="0"/>
          <w:sz w:val="24"/>
          <w:szCs w:val="24"/>
          <w:highlight w:val="none"/>
        </w:rPr>
        <w:t>磋商文件</w:t>
      </w:r>
    </w:p>
    <w:p w14:paraId="5E6B0810">
      <w:pPr>
        <w:pStyle w:val="237"/>
        <w:pageBreakBefore w:val="0"/>
        <w:spacing w:before="0" w:after="0" w:line="400" w:lineRule="exact"/>
        <w:ind w:firstLine="482"/>
        <w:rPr>
          <w:rFonts w:ascii="宋体" w:hAnsi="宋体" w:eastAsia="宋体" w:cs="宋体"/>
          <w:sz w:val="24"/>
          <w:szCs w:val="24"/>
          <w:highlight w:val="none"/>
        </w:rPr>
      </w:pPr>
      <w:bookmarkStart w:id="73" w:name="_Toc20823282"/>
      <w:bookmarkStart w:id="74" w:name="_Toc513029210"/>
      <w:bookmarkStart w:id="75" w:name="_Toc16938526"/>
      <w:r>
        <w:rPr>
          <w:rFonts w:hint="eastAsia" w:ascii="宋体" w:hAnsi="宋体" w:eastAsia="宋体" w:cs="宋体"/>
          <w:sz w:val="24"/>
          <w:szCs w:val="24"/>
          <w:highlight w:val="none"/>
        </w:rPr>
        <w:t>6.磋商文件构成</w:t>
      </w:r>
      <w:bookmarkEnd w:id="73"/>
      <w:bookmarkEnd w:id="74"/>
      <w:bookmarkEnd w:id="75"/>
    </w:p>
    <w:p w14:paraId="43A387D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6.1磋商文件由以下部分组成：</w:t>
      </w:r>
    </w:p>
    <w:p w14:paraId="553C17F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（1）磋商邀请</w:t>
      </w:r>
    </w:p>
    <w:p w14:paraId="187F307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（2）供应商须知</w:t>
      </w:r>
    </w:p>
    <w:p w14:paraId="712EA53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（3）合同文本</w:t>
      </w:r>
    </w:p>
    <w:p w14:paraId="4108B37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（4）采购需求</w:t>
      </w:r>
    </w:p>
    <w:p w14:paraId="4692068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（5）评审方法与评审标准</w:t>
      </w:r>
    </w:p>
    <w:p w14:paraId="13DBA9D9">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（6）响应文件格式</w:t>
      </w:r>
    </w:p>
    <w:p w14:paraId="0391A41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供应商应仔细检查磋商文件是否齐全，如有缺漏请立即与交易中心联系解决。</w:t>
      </w:r>
    </w:p>
    <w:p w14:paraId="3C13D2A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5395E9">
      <w:pPr>
        <w:pStyle w:val="237"/>
        <w:pageBreakBefore w:val="0"/>
        <w:spacing w:before="0" w:after="0" w:line="400" w:lineRule="exact"/>
        <w:ind w:firstLine="482"/>
        <w:rPr>
          <w:rFonts w:ascii="宋体" w:hAnsi="宋体" w:eastAsia="宋体" w:cs="宋体"/>
          <w:sz w:val="24"/>
          <w:szCs w:val="24"/>
          <w:highlight w:val="none"/>
        </w:rPr>
      </w:pPr>
      <w:bookmarkStart w:id="76" w:name="_Toc20823283"/>
      <w:bookmarkStart w:id="77" w:name="_Toc16938527"/>
      <w:bookmarkStart w:id="78" w:name="_Toc462564070"/>
      <w:bookmarkStart w:id="79" w:name="_Toc513029211"/>
      <w:r>
        <w:rPr>
          <w:rFonts w:hint="eastAsia" w:ascii="宋体" w:hAnsi="宋体" w:eastAsia="宋体" w:cs="宋体"/>
          <w:sz w:val="24"/>
          <w:szCs w:val="24"/>
          <w:highlight w:val="none"/>
        </w:rPr>
        <w:t>7.磋商文件的澄清</w:t>
      </w:r>
      <w:bookmarkEnd w:id="76"/>
      <w:bookmarkEnd w:id="77"/>
      <w:bookmarkEnd w:id="78"/>
      <w:bookmarkEnd w:id="79"/>
    </w:p>
    <w:p w14:paraId="6F57BA9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7.1任何要求对磋商文件进行澄清的供应商，应在磋商截止期五日前按磋商公告中的通讯地址，以书面形式通知交易中心。</w:t>
      </w:r>
    </w:p>
    <w:p w14:paraId="0D8656BB">
      <w:pPr>
        <w:pStyle w:val="237"/>
        <w:pageBreakBefore w:val="0"/>
        <w:spacing w:before="0" w:after="0" w:line="400" w:lineRule="exact"/>
        <w:ind w:firstLine="482"/>
        <w:rPr>
          <w:rFonts w:ascii="宋体" w:hAnsi="宋体" w:eastAsia="宋体" w:cs="宋体"/>
          <w:sz w:val="24"/>
          <w:szCs w:val="24"/>
          <w:highlight w:val="none"/>
        </w:rPr>
      </w:pPr>
      <w:bookmarkStart w:id="80" w:name="_Toc513029212"/>
      <w:bookmarkStart w:id="81" w:name="_Toc462564071"/>
      <w:bookmarkStart w:id="82" w:name="_Toc20823284"/>
      <w:bookmarkStart w:id="83" w:name="_Toc16938528"/>
      <w:r>
        <w:rPr>
          <w:rFonts w:hint="eastAsia" w:ascii="宋体" w:hAnsi="宋体" w:eastAsia="宋体" w:cs="宋体"/>
          <w:sz w:val="24"/>
          <w:szCs w:val="24"/>
          <w:highlight w:val="none"/>
        </w:rPr>
        <w:t>8.磋商文件的澄清和修改</w:t>
      </w:r>
      <w:bookmarkEnd w:id="80"/>
      <w:bookmarkEnd w:id="81"/>
      <w:bookmarkEnd w:id="82"/>
      <w:bookmarkEnd w:id="83"/>
    </w:p>
    <w:p w14:paraId="237E90DF">
      <w:pPr>
        <w:pageBreakBefore w:val="0"/>
        <w:spacing w:line="400" w:lineRule="exact"/>
        <w:ind w:firstLine="480"/>
        <w:rPr>
          <w:rFonts w:ascii="宋体" w:hAnsi="宋体" w:cs="宋体"/>
          <w:sz w:val="24"/>
          <w:szCs w:val="24"/>
          <w:highlight w:val="none"/>
        </w:rPr>
      </w:pPr>
      <w:bookmarkStart w:id="84" w:name="_Toc16938529"/>
      <w:bookmarkStart w:id="85" w:name="_Toc462564072"/>
      <w:bookmarkStart w:id="86" w:name="_Toc120614216"/>
      <w:bookmarkStart w:id="87" w:name="_Toc20823285"/>
      <w:bookmarkStart w:id="88" w:name="_Toc513029213"/>
      <w:r>
        <w:rPr>
          <w:rFonts w:hint="eastAsia" w:ascii="宋体" w:hAnsi="宋体" w:cs="宋体"/>
          <w:sz w:val="24"/>
          <w:szCs w:val="24"/>
          <w:highlight w:val="none"/>
        </w:rPr>
        <w:t>8.1在响应文件提交截止时间前，交易中心可以对磋商文件进行修改。磋商文件的修改将在原公告媒体发布更正公告，更正内容将作为磋商文件的组成部分，并对供应商具有约束力。</w:t>
      </w:r>
    </w:p>
    <w:p w14:paraId="56A6013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8.2供应商应在提交响应文件截止时间前，关注原公告媒体有关本项目的更正公告，根据更正公告内容自行决定是否需要重新制作和提交响应文件，并承担由此产生的相应责任。</w:t>
      </w:r>
    </w:p>
    <w:p w14:paraId="3C2166A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8.3交易中心有权按照法定的要求推迟提交响应文件截止时间，并在原公告媒体发布更正公告。</w:t>
      </w:r>
    </w:p>
    <w:p w14:paraId="6C5A483B">
      <w:pPr>
        <w:pStyle w:val="236"/>
        <w:pageBreakBefore w:val="0"/>
        <w:spacing w:before="0" w:after="0"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三、响应文件的编制</w:t>
      </w:r>
      <w:bookmarkEnd w:id="84"/>
      <w:bookmarkEnd w:id="85"/>
      <w:bookmarkEnd w:id="86"/>
      <w:bookmarkEnd w:id="87"/>
      <w:bookmarkEnd w:id="88"/>
    </w:p>
    <w:p w14:paraId="78D0E6F5">
      <w:pPr>
        <w:pStyle w:val="237"/>
        <w:pageBreakBefore w:val="0"/>
        <w:spacing w:before="0" w:after="0" w:line="400" w:lineRule="exact"/>
        <w:ind w:firstLine="482"/>
        <w:rPr>
          <w:rFonts w:ascii="宋体" w:hAnsi="宋体" w:eastAsia="宋体" w:cs="宋体"/>
          <w:sz w:val="24"/>
          <w:szCs w:val="24"/>
          <w:highlight w:val="none"/>
        </w:rPr>
      </w:pPr>
      <w:bookmarkStart w:id="89" w:name="_Toc513029214"/>
      <w:bookmarkStart w:id="90" w:name="_Toc462564073"/>
      <w:bookmarkStart w:id="91" w:name="_Toc16938530"/>
      <w:bookmarkStart w:id="92" w:name="_Toc20823286"/>
      <w:r>
        <w:rPr>
          <w:rFonts w:hint="eastAsia" w:ascii="宋体" w:hAnsi="宋体" w:eastAsia="宋体" w:cs="宋体"/>
          <w:sz w:val="24"/>
          <w:szCs w:val="24"/>
          <w:highlight w:val="none"/>
        </w:rPr>
        <w:t>9.响应文件的语言及度量衡单位</w:t>
      </w:r>
      <w:bookmarkEnd w:id="89"/>
      <w:bookmarkEnd w:id="90"/>
      <w:bookmarkEnd w:id="91"/>
      <w:bookmarkEnd w:id="92"/>
    </w:p>
    <w:p w14:paraId="503C5F3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9.1供应商提交的响应文件以及供应商与交易中心就有关磋商的所有来往通知、函件和文件均应使用简体中文。</w:t>
      </w:r>
    </w:p>
    <w:p w14:paraId="0E2BFFD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9.2除技术性能另有规定外，响应文件所使用的度量衡单位，均须采用国家法定计量单位。</w:t>
      </w:r>
    </w:p>
    <w:p w14:paraId="799CF4B2">
      <w:pPr>
        <w:pStyle w:val="237"/>
        <w:pageBreakBefore w:val="0"/>
        <w:spacing w:before="0" w:after="0" w:line="400" w:lineRule="exact"/>
        <w:ind w:firstLine="482"/>
        <w:rPr>
          <w:rFonts w:ascii="宋体" w:hAnsi="宋体" w:eastAsia="宋体" w:cs="宋体"/>
          <w:sz w:val="24"/>
          <w:szCs w:val="24"/>
          <w:highlight w:val="none"/>
        </w:rPr>
      </w:pPr>
      <w:bookmarkStart w:id="93" w:name="_Toc513029215"/>
      <w:bookmarkStart w:id="94" w:name="_Toc16938531"/>
      <w:bookmarkStart w:id="95" w:name="_Toc20823287"/>
      <w:bookmarkStart w:id="96" w:name="_Toc462564074"/>
      <w:r>
        <w:rPr>
          <w:rFonts w:hint="eastAsia" w:ascii="宋体" w:hAnsi="宋体" w:eastAsia="宋体" w:cs="宋体"/>
          <w:sz w:val="24"/>
          <w:szCs w:val="24"/>
          <w:highlight w:val="none"/>
        </w:rPr>
        <w:t>10.响应文件构成</w:t>
      </w:r>
      <w:bookmarkEnd w:id="93"/>
      <w:bookmarkEnd w:id="94"/>
      <w:bookmarkEnd w:id="95"/>
      <w:bookmarkEnd w:id="96"/>
    </w:p>
    <w:p w14:paraId="2B3A623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10.1供应商编写的响应文件应包括资格证明文件、符合性证明文件、磋商报价明细表、响应及偏离表、其他证明文件、磋商响应函等部分。</w:t>
      </w:r>
    </w:p>
    <w:p w14:paraId="321E23E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10.2如标书制作工具中格式和内容与“江苏政府采购网”发布的磋商文件不一致，以“江苏政府采购网”发布的磋商文件为准。</w:t>
      </w:r>
    </w:p>
    <w:p w14:paraId="52DA2D64">
      <w:pPr>
        <w:pStyle w:val="237"/>
        <w:pageBreakBefore w:val="0"/>
        <w:spacing w:before="0" w:after="0" w:line="400" w:lineRule="exact"/>
        <w:ind w:firstLine="482"/>
        <w:rPr>
          <w:rFonts w:ascii="宋体" w:hAnsi="宋体" w:eastAsia="宋体" w:cs="宋体"/>
          <w:sz w:val="24"/>
          <w:szCs w:val="24"/>
          <w:highlight w:val="none"/>
        </w:rPr>
      </w:pPr>
      <w:bookmarkStart w:id="97" w:name="_Hlt26670360"/>
      <w:bookmarkEnd w:id="97"/>
      <w:bookmarkStart w:id="98" w:name="_Hlt26668975"/>
      <w:bookmarkEnd w:id="98"/>
      <w:bookmarkStart w:id="99" w:name="_Hlt26954838"/>
      <w:bookmarkEnd w:id="99"/>
      <w:bookmarkStart w:id="100" w:name="_Toc513029216"/>
      <w:bookmarkStart w:id="101" w:name="_Toc14577354"/>
      <w:bookmarkStart w:id="102" w:name="_Toc14577357"/>
      <w:bookmarkStart w:id="103" w:name="_Toc49090507"/>
      <w:bookmarkStart w:id="104" w:name="_Toc513029219"/>
      <w:bookmarkStart w:id="105" w:name="_Toc49090509"/>
      <w:bookmarkStart w:id="106" w:name="_Toc14577355"/>
      <w:bookmarkStart w:id="107" w:name="_Toc49090508"/>
      <w:r>
        <w:rPr>
          <w:rFonts w:hint="eastAsia" w:ascii="宋体" w:hAnsi="宋体" w:eastAsia="宋体" w:cs="宋体"/>
          <w:sz w:val="24"/>
          <w:szCs w:val="24"/>
          <w:highlight w:val="none"/>
        </w:rPr>
        <w:t>11.证明磋商响应标的符合磋商文件规定的文件</w:t>
      </w:r>
      <w:bookmarkEnd w:id="100"/>
      <w:bookmarkEnd w:id="101"/>
      <w:bookmarkEnd w:id="102"/>
      <w:bookmarkEnd w:id="103"/>
      <w:bookmarkEnd w:id="104"/>
      <w:bookmarkEnd w:id="105"/>
    </w:p>
    <w:p w14:paraId="2535A7A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11.1供应商应按照法律、法规、规章和规范性文件以及磋商文件要求提交证明文件，证明其响应标的符合磋商文件规定。</w:t>
      </w:r>
    </w:p>
    <w:p w14:paraId="0243C68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11.2磋商文件对证明文件无明确形式要求的，证明文件可以以文字资料、图纸和数据等形式提交。</w:t>
      </w:r>
      <w:bookmarkEnd w:id="106"/>
      <w:bookmarkEnd w:id="107"/>
    </w:p>
    <w:p w14:paraId="712C8E67">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12.磋商报价明细表</w:t>
      </w:r>
    </w:p>
    <w:p w14:paraId="40580AB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12.1供应商应按照磋商文件规定格式填报磋商报价明细表。</w:t>
      </w:r>
    </w:p>
    <w:p w14:paraId="34CDBA0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12.2磋商货币。响应文件中的单价和总价无特殊规定的采用人民币报价，以元为单位标注。磋商文件中另有规定的按规定执行。</w:t>
      </w:r>
    </w:p>
    <w:p w14:paraId="5AD83FA4">
      <w:pPr>
        <w:pStyle w:val="237"/>
        <w:pageBreakBefore w:val="0"/>
        <w:spacing w:before="0" w:after="0" w:line="400" w:lineRule="exact"/>
        <w:ind w:firstLine="482"/>
        <w:rPr>
          <w:rFonts w:ascii="宋体" w:hAnsi="宋体" w:eastAsia="宋体" w:cs="宋体"/>
          <w:sz w:val="24"/>
          <w:szCs w:val="24"/>
          <w:highlight w:val="none"/>
        </w:rPr>
      </w:pPr>
      <w:bookmarkStart w:id="108" w:name="_Hlt26954731"/>
      <w:bookmarkEnd w:id="108"/>
      <w:bookmarkStart w:id="109" w:name="_Hlt26670486"/>
      <w:bookmarkEnd w:id="109"/>
      <w:bookmarkStart w:id="110" w:name="_Hlt26670482"/>
      <w:bookmarkEnd w:id="110"/>
      <w:bookmarkStart w:id="111" w:name="_Hlt26954846"/>
      <w:bookmarkEnd w:id="111"/>
      <w:bookmarkStart w:id="112" w:name="_Hlt26954848"/>
      <w:bookmarkEnd w:id="112"/>
      <w:r>
        <w:rPr>
          <w:rFonts w:hint="eastAsia" w:ascii="宋体" w:hAnsi="宋体" w:eastAsia="宋体" w:cs="宋体"/>
          <w:sz w:val="24"/>
          <w:szCs w:val="24"/>
          <w:highlight w:val="none"/>
        </w:rPr>
        <w:t>13.响应及偏离表</w:t>
      </w:r>
    </w:p>
    <w:p w14:paraId="26D72EA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13.1供应商需对磋商文件中的技术要求与商务要求逐项作出响应或偏离说明。</w:t>
      </w:r>
    </w:p>
    <w:p w14:paraId="0F3E1F4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13.2供应商可在响应文件中提供认为需要的其他技术文件或说明。</w:t>
      </w:r>
    </w:p>
    <w:p w14:paraId="65D84092">
      <w:pPr>
        <w:pStyle w:val="237"/>
        <w:pageBreakBefore w:val="0"/>
        <w:spacing w:before="0" w:after="0" w:line="400" w:lineRule="exact"/>
        <w:ind w:firstLine="482"/>
        <w:rPr>
          <w:rFonts w:ascii="宋体" w:hAnsi="宋体" w:eastAsia="宋体" w:cs="宋体"/>
          <w:sz w:val="24"/>
          <w:szCs w:val="24"/>
          <w:highlight w:val="none"/>
        </w:rPr>
      </w:pPr>
      <w:bookmarkStart w:id="113" w:name="_Toc14577359"/>
      <w:bookmarkStart w:id="114" w:name="_Toc49090510"/>
      <w:r>
        <w:rPr>
          <w:rFonts w:hint="eastAsia" w:ascii="宋体" w:hAnsi="宋体" w:eastAsia="宋体" w:cs="宋体"/>
          <w:sz w:val="24"/>
          <w:szCs w:val="24"/>
          <w:highlight w:val="none"/>
        </w:rPr>
        <w:t>14.磋商响应函</w:t>
      </w:r>
    </w:p>
    <w:p w14:paraId="48DC992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sz w:val="24"/>
          <w:szCs w:val="24"/>
          <w:highlight w:val="none"/>
        </w:rPr>
        <w:t>4</w:t>
      </w:r>
      <w:r>
        <w:rPr>
          <w:rFonts w:hint="eastAsia" w:ascii="宋体" w:hAnsi="宋体" w:cs="宋体"/>
          <w:sz w:val="24"/>
          <w:szCs w:val="24"/>
          <w:highlight w:val="none"/>
          <w:lang w:val="zh-CN"/>
        </w:rPr>
        <w:t>.1供应商应按照磋商文件规定格式完整、正确填报磋商响应函。</w:t>
      </w:r>
      <w:bookmarkEnd w:id="113"/>
      <w:bookmarkEnd w:id="114"/>
    </w:p>
    <w:p w14:paraId="3AF95C80">
      <w:pPr>
        <w:pStyle w:val="237"/>
        <w:pageBreakBefore w:val="0"/>
        <w:spacing w:before="0" w:after="0" w:line="400" w:lineRule="exact"/>
        <w:ind w:firstLine="482"/>
        <w:rPr>
          <w:rFonts w:ascii="宋体" w:hAnsi="宋体" w:eastAsia="宋体" w:cs="宋体"/>
          <w:sz w:val="24"/>
          <w:szCs w:val="24"/>
          <w:highlight w:val="none"/>
        </w:rPr>
      </w:pPr>
      <w:bookmarkStart w:id="115" w:name="_Toc14577360"/>
      <w:bookmarkStart w:id="116" w:name="_Toc49090511"/>
      <w:r>
        <w:rPr>
          <w:rFonts w:hint="eastAsia" w:ascii="宋体" w:hAnsi="宋体" w:eastAsia="宋体" w:cs="宋体"/>
          <w:sz w:val="24"/>
          <w:szCs w:val="24"/>
          <w:highlight w:val="none"/>
        </w:rPr>
        <w:t>15.磋商有效期</w:t>
      </w:r>
      <w:bookmarkEnd w:id="115"/>
      <w:bookmarkEnd w:id="116"/>
    </w:p>
    <w:p w14:paraId="775AF6F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15.1磋商有效期为采购公告规定的提交响应文件截止之日起</w:t>
      </w:r>
      <w:r>
        <w:rPr>
          <w:rFonts w:hint="eastAsia" w:ascii="宋体" w:hAnsi="宋体" w:cs="宋体"/>
          <w:sz w:val="24"/>
          <w:szCs w:val="24"/>
          <w:highlight w:val="none"/>
          <w:lang w:val="zh-CN"/>
        </w:rPr>
        <w:t>六十天</w:t>
      </w:r>
      <w:r>
        <w:rPr>
          <w:rFonts w:hint="eastAsia" w:ascii="宋体" w:hAnsi="宋体" w:cs="宋体"/>
          <w:sz w:val="24"/>
          <w:szCs w:val="24"/>
          <w:highlight w:val="none"/>
        </w:rPr>
        <w:t>。磋商有效期比规定短的将被视为非实质性响应磋商文件而被拒绝。</w:t>
      </w:r>
    </w:p>
    <w:p w14:paraId="0A8BA47F">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16.磋商有效期的延长</w:t>
      </w:r>
    </w:p>
    <w:p w14:paraId="6A4CD809">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3F9C9348">
      <w:pPr>
        <w:pStyle w:val="236"/>
        <w:pageBreakBefore w:val="0"/>
        <w:spacing w:before="0" w:after="0" w:line="400" w:lineRule="exact"/>
        <w:ind w:firstLine="480"/>
        <w:rPr>
          <w:rFonts w:ascii="宋体" w:hAnsi="宋体" w:cs="宋体"/>
          <w:b w:val="0"/>
          <w:bCs w:val="0"/>
          <w:sz w:val="24"/>
          <w:szCs w:val="24"/>
          <w:highlight w:val="none"/>
        </w:rPr>
      </w:pPr>
      <w:bookmarkStart w:id="117" w:name="_Toc20823296"/>
      <w:bookmarkStart w:id="118" w:name="_Toc513029224"/>
      <w:bookmarkStart w:id="119" w:name="_Toc120614217"/>
      <w:bookmarkStart w:id="120" w:name="_Toc16938540"/>
      <w:r>
        <w:rPr>
          <w:rFonts w:hint="eastAsia" w:ascii="宋体" w:hAnsi="宋体" w:cs="宋体"/>
          <w:b w:val="0"/>
          <w:bCs w:val="0"/>
          <w:sz w:val="24"/>
          <w:szCs w:val="24"/>
          <w:highlight w:val="none"/>
        </w:rPr>
        <w:t>四、响应文件的递交</w:t>
      </w:r>
      <w:bookmarkEnd w:id="117"/>
      <w:bookmarkEnd w:id="118"/>
      <w:bookmarkEnd w:id="119"/>
      <w:bookmarkEnd w:id="120"/>
    </w:p>
    <w:p w14:paraId="6A345917">
      <w:pPr>
        <w:pStyle w:val="237"/>
        <w:pageBreakBefore w:val="0"/>
        <w:spacing w:before="0" w:after="0" w:line="400" w:lineRule="exact"/>
        <w:ind w:firstLine="482"/>
        <w:rPr>
          <w:rFonts w:ascii="宋体" w:hAnsi="宋体" w:eastAsia="宋体" w:cs="宋体"/>
          <w:sz w:val="24"/>
          <w:szCs w:val="24"/>
          <w:highlight w:val="none"/>
        </w:rPr>
      </w:pPr>
      <w:bookmarkStart w:id="121" w:name="_Toc20823297"/>
      <w:bookmarkStart w:id="122" w:name="_Toc462564084"/>
      <w:bookmarkStart w:id="123" w:name="_Toc16938541"/>
      <w:bookmarkStart w:id="124" w:name="_Toc513029225"/>
      <w:r>
        <w:rPr>
          <w:rFonts w:hint="eastAsia" w:ascii="宋体" w:hAnsi="宋体" w:eastAsia="宋体" w:cs="宋体"/>
          <w:sz w:val="24"/>
          <w:szCs w:val="24"/>
          <w:highlight w:val="none"/>
        </w:rPr>
        <w:t>17.磋商</w:t>
      </w:r>
      <w:bookmarkEnd w:id="121"/>
      <w:bookmarkEnd w:id="122"/>
      <w:bookmarkEnd w:id="123"/>
      <w:bookmarkEnd w:id="124"/>
      <w:r>
        <w:rPr>
          <w:rFonts w:hint="eastAsia" w:ascii="宋体" w:hAnsi="宋体" w:eastAsia="宋体" w:cs="宋体"/>
          <w:sz w:val="24"/>
          <w:szCs w:val="24"/>
          <w:highlight w:val="none"/>
        </w:rPr>
        <w:t>响应文件的递交</w:t>
      </w:r>
    </w:p>
    <w:p w14:paraId="496D3D6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17.1供应商应当按照《操作手册》规定，在提交响应文件截止时间前制作并上传电子响应文件。</w:t>
      </w:r>
      <w:bookmarkStart w:id="125" w:name="_Toc513029226"/>
      <w:bookmarkEnd w:id="125"/>
      <w:bookmarkStart w:id="126" w:name="_Toc16938542"/>
      <w:bookmarkEnd w:id="126"/>
      <w:bookmarkStart w:id="127" w:name="_Toc20823298"/>
      <w:bookmarkEnd w:id="127"/>
    </w:p>
    <w:p w14:paraId="44DFF89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17.2供应商应充分考虑网络环境、网络带宽等因素可能对磋商产生的影响，如因供应商自身原因造成的电子响应文件上传不成功的，按照本磋商文件第二章第24.3条规定做无效响应处理。</w:t>
      </w:r>
    </w:p>
    <w:p w14:paraId="731F17A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17.3交易中心可以按照规定，通过修改磋商文件酌情延长提交响应文件截止日期，在此情况下，供应商的所有权利和义务均以延长后新的截止日期为准。</w:t>
      </w:r>
    </w:p>
    <w:p w14:paraId="2E53503B">
      <w:pPr>
        <w:pStyle w:val="237"/>
        <w:pageBreakBefore w:val="0"/>
        <w:spacing w:before="0" w:after="0" w:line="400" w:lineRule="exact"/>
        <w:ind w:firstLine="482"/>
        <w:rPr>
          <w:rFonts w:ascii="宋体" w:hAnsi="宋体" w:eastAsia="宋体" w:cs="宋体"/>
          <w:sz w:val="24"/>
          <w:szCs w:val="24"/>
          <w:highlight w:val="none"/>
        </w:rPr>
      </w:pPr>
      <w:bookmarkStart w:id="128" w:name="_Toc513029227"/>
      <w:bookmarkStart w:id="129" w:name="_Toc20823299"/>
      <w:bookmarkStart w:id="130" w:name="_Toc16938543"/>
      <w:r>
        <w:rPr>
          <w:rFonts w:hint="eastAsia" w:ascii="宋体" w:hAnsi="宋体" w:eastAsia="宋体" w:cs="宋体"/>
          <w:sz w:val="24"/>
          <w:szCs w:val="24"/>
          <w:highlight w:val="none"/>
        </w:rPr>
        <w:t>18.响应文件</w:t>
      </w:r>
      <w:bookmarkEnd w:id="128"/>
      <w:bookmarkEnd w:id="129"/>
      <w:bookmarkEnd w:id="130"/>
      <w:r>
        <w:rPr>
          <w:rFonts w:hint="eastAsia" w:ascii="宋体" w:hAnsi="宋体" w:eastAsia="宋体" w:cs="宋体"/>
          <w:sz w:val="24"/>
          <w:szCs w:val="24"/>
          <w:highlight w:val="none"/>
        </w:rPr>
        <w:t>的拒收</w:t>
      </w:r>
    </w:p>
    <w:p w14:paraId="63375F5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18.1交易中心拒绝接收提交响应文件截止时间后上传的任何电子响应文件。</w:t>
      </w:r>
    </w:p>
    <w:p w14:paraId="79C5F7CA">
      <w:pPr>
        <w:pStyle w:val="237"/>
        <w:pageBreakBefore w:val="0"/>
        <w:spacing w:before="0" w:after="0" w:line="400" w:lineRule="exact"/>
        <w:ind w:firstLine="482"/>
        <w:rPr>
          <w:rFonts w:ascii="宋体" w:hAnsi="宋体" w:eastAsia="宋体" w:cs="宋体"/>
          <w:sz w:val="24"/>
          <w:szCs w:val="24"/>
          <w:highlight w:val="none"/>
        </w:rPr>
      </w:pPr>
      <w:bookmarkStart w:id="131" w:name="_Toc20823300"/>
      <w:bookmarkStart w:id="132" w:name="_Toc16938544"/>
      <w:bookmarkStart w:id="133" w:name="_Toc513029228"/>
      <w:r>
        <w:rPr>
          <w:rFonts w:hint="eastAsia" w:ascii="宋体" w:hAnsi="宋体" w:eastAsia="宋体" w:cs="宋体"/>
          <w:sz w:val="24"/>
          <w:szCs w:val="24"/>
          <w:highlight w:val="none"/>
        </w:rPr>
        <w:t>19.响应文件的撤回和修改</w:t>
      </w:r>
      <w:bookmarkEnd w:id="131"/>
      <w:bookmarkEnd w:id="132"/>
      <w:bookmarkEnd w:id="133"/>
    </w:p>
    <w:p w14:paraId="5D2204D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19.1响应文件的撤回</w:t>
      </w:r>
    </w:p>
    <w:p w14:paraId="420D49B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19.1.1供应商可在提交响应文件截止时间前，撤回其电子响应文件，具体操作方法见《操作手册》。</w:t>
      </w:r>
    </w:p>
    <w:p w14:paraId="7730FD2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19.1.2供应商撤回电子响应文件，则认为其不再参与本项目磋商活动。</w:t>
      </w:r>
    </w:p>
    <w:p w14:paraId="6D8EE51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19.2响应文件的修改</w:t>
      </w:r>
    </w:p>
    <w:p w14:paraId="19D0376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19.2.1供应商可在提交响应文件截止时间前，对其电子响应文件进行修改，具体操作方法见《操作手册》。</w:t>
      </w:r>
    </w:p>
    <w:p w14:paraId="41F3400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19.2.2在提交响应文件截止时间之后，供应商不得对其电子响应文件作任何修改。</w:t>
      </w:r>
    </w:p>
    <w:p w14:paraId="489024C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19.3在提交响应文件截止时间至磋商文件中规定的磋商有效期满之间的这段时间内，供应商不得撤回其响应文件。</w:t>
      </w:r>
    </w:p>
    <w:p w14:paraId="6446D36D">
      <w:pPr>
        <w:pStyle w:val="236"/>
        <w:pageBreakBefore w:val="0"/>
        <w:spacing w:before="0" w:after="0" w:line="400" w:lineRule="exact"/>
        <w:ind w:firstLine="480"/>
        <w:rPr>
          <w:rFonts w:ascii="宋体" w:hAnsi="宋体" w:cs="宋体"/>
          <w:b w:val="0"/>
          <w:bCs w:val="0"/>
          <w:sz w:val="24"/>
          <w:szCs w:val="24"/>
          <w:highlight w:val="none"/>
        </w:rPr>
      </w:pPr>
      <w:bookmarkStart w:id="134" w:name="_Toc16938545"/>
      <w:bookmarkStart w:id="135" w:name="_Toc20823301"/>
      <w:bookmarkStart w:id="136" w:name="_Toc120614218"/>
      <w:bookmarkStart w:id="137" w:name="_Toc513029229"/>
      <w:r>
        <w:rPr>
          <w:rFonts w:hint="eastAsia" w:ascii="宋体" w:hAnsi="宋体" w:cs="宋体"/>
          <w:b w:val="0"/>
          <w:bCs w:val="0"/>
          <w:sz w:val="24"/>
          <w:szCs w:val="24"/>
          <w:highlight w:val="none"/>
        </w:rPr>
        <w:t>五、响应文件的解密与评审</w:t>
      </w:r>
      <w:bookmarkEnd w:id="134"/>
      <w:bookmarkEnd w:id="135"/>
      <w:bookmarkEnd w:id="136"/>
      <w:bookmarkEnd w:id="137"/>
    </w:p>
    <w:p w14:paraId="3D30B292">
      <w:pPr>
        <w:pStyle w:val="237"/>
        <w:pageBreakBefore w:val="0"/>
        <w:spacing w:before="0" w:after="0" w:line="400" w:lineRule="exact"/>
        <w:ind w:firstLine="482"/>
        <w:rPr>
          <w:rFonts w:ascii="宋体" w:hAnsi="宋体" w:eastAsia="宋体" w:cs="宋体"/>
          <w:sz w:val="24"/>
          <w:szCs w:val="24"/>
          <w:highlight w:val="none"/>
        </w:rPr>
      </w:pPr>
      <w:bookmarkStart w:id="138" w:name="_Toc20823302"/>
      <w:bookmarkStart w:id="139" w:name="_Toc16938546"/>
      <w:bookmarkStart w:id="140" w:name="_Toc513029230"/>
      <w:r>
        <w:rPr>
          <w:rFonts w:hint="eastAsia" w:ascii="宋体" w:hAnsi="宋体" w:eastAsia="宋体" w:cs="宋体"/>
          <w:sz w:val="24"/>
          <w:szCs w:val="24"/>
          <w:highlight w:val="none"/>
        </w:rPr>
        <w:t>2</w:t>
      </w:r>
      <w:bookmarkEnd w:id="138"/>
      <w:bookmarkEnd w:id="139"/>
      <w:bookmarkEnd w:id="140"/>
      <w:r>
        <w:rPr>
          <w:rFonts w:hint="eastAsia" w:ascii="宋体" w:hAnsi="宋体" w:eastAsia="宋体" w:cs="宋体"/>
          <w:sz w:val="24"/>
          <w:szCs w:val="24"/>
          <w:highlight w:val="none"/>
        </w:rPr>
        <w:t>0.响应文件解密</w:t>
      </w:r>
    </w:p>
    <w:p w14:paraId="7E563A9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20.1供应商应当按照《操作手册》规定，在苏采云系统规定的时间内对磋商响应文件进行解密。</w:t>
      </w:r>
    </w:p>
    <w:p w14:paraId="72D2B31B">
      <w:pPr>
        <w:pStyle w:val="237"/>
        <w:pageBreakBefore w:val="0"/>
        <w:spacing w:before="0" w:after="0" w:line="400" w:lineRule="exact"/>
        <w:ind w:firstLine="482"/>
        <w:rPr>
          <w:rFonts w:ascii="宋体" w:hAnsi="宋体" w:eastAsia="宋体" w:cs="宋体"/>
          <w:sz w:val="24"/>
          <w:szCs w:val="24"/>
          <w:highlight w:val="none"/>
        </w:rPr>
      </w:pPr>
      <w:bookmarkStart w:id="141" w:name="_Toc16938547"/>
      <w:bookmarkStart w:id="142" w:name="_Toc513029231"/>
      <w:bookmarkStart w:id="143" w:name="_Toc20823303"/>
      <w:r>
        <w:rPr>
          <w:rFonts w:hint="eastAsia" w:ascii="宋体" w:hAnsi="宋体" w:eastAsia="宋体" w:cs="宋体"/>
          <w:sz w:val="24"/>
          <w:szCs w:val="24"/>
          <w:highlight w:val="none"/>
        </w:rPr>
        <w:t>21.磋商</w:t>
      </w:r>
    </w:p>
    <w:p w14:paraId="09F6D6D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21.1交易中心将组织磋商小组对响应文件进行评审。</w:t>
      </w:r>
    </w:p>
    <w:p w14:paraId="03ACD25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21.2磋商小组由采购人代表和有关技术、经济等方面的专家组成，且人员构成符合政府采购有关规定。</w:t>
      </w:r>
    </w:p>
    <w:p w14:paraId="5E972CE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21.3磋商小组独立工作，负责评审所有响应文件并推荐成交侯选人，或根据采购人授权直接确定成交供应商。</w:t>
      </w:r>
    </w:p>
    <w:p w14:paraId="7AAD6937">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22.评审过程的保密与公正</w:t>
      </w:r>
      <w:bookmarkEnd w:id="141"/>
      <w:bookmarkEnd w:id="142"/>
      <w:bookmarkEnd w:id="143"/>
    </w:p>
    <w:p w14:paraId="2A75937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22.1磋商小组、采购人和交易中心工作人员、相关监督人员等与评审工作有关的人员，对评审情况以及在评审过程中获悉的国家秘密、商业秘密负有保密责任。</w:t>
      </w:r>
    </w:p>
    <w:p w14:paraId="394BD1E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22.2在评审过程中，供应商不得以任何行为影响磋商评审过程，否则其响应文件将被作为无效响应文件。</w:t>
      </w:r>
    </w:p>
    <w:p w14:paraId="1C77834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22.3交易中心和磋商小组不向未成交的供应商解释未成交原因，也不公布评审过程中的相关细节。</w:t>
      </w:r>
    </w:p>
    <w:p w14:paraId="6A583EF3">
      <w:pPr>
        <w:pStyle w:val="237"/>
        <w:pageBreakBefore w:val="0"/>
        <w:spacing w:before="0" w:after="0" w:line="400" w:lineRule="exact"/>
        <w:ind w:firstLine="482"/>
        <w:rPr>
          <w:rFonts w:ascii="宋体" w:hAnsi="宋体" w:eastAsia="宋体" w:cs="宋体"/>
          <w:sz w:val="24"/>
          <w:szCs w:val="24"/>
          <w:highlight w:val="none"/>
        </w:rPr>
      </w:pPr>
      <w:bookmarkStart w:id="144" w:name="_Toc20823304"/>
      <w:bookmarkStart w:id="145" w:name="_Toc513029232"/>
      <w:bookmarkStart w:id="146" w:name="_Toc16938548"/>
      <w:r>
        <w:rPr>
          <w:rFonts w:hint="eastAsia" w:ascii="宋体" w:hAnsi="宋体" w:eastAsia="宋体" w:cs="宋体"/>
          <w:sz w:val="24"/>
          <w:szCs w:val="24"/>
          <w:highlight w:val="none"/>
        </w:rPr>
        <w:t>23.评审过程中的澄清</w:t>
      </w:r>
      <w:bookmarkEnd w:id="144"/>
      <w:bookmarkEnd w:id="145"/>
      <w:bookmarkEnd w:id="146"/>
    </w:p>
    <w:p w14:paraId="7D4F34B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23.1项目评审期间，磋商小组有权要求供应商对响应文件中含义不明确、同类问题表述不一致或者有明显文字和计算错误的内容等作出必要的澄清、说明或者补正。</w:t>
      </w:r>
    </w:p>
    <w:p w14:paraId="641F2B8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供应商的澄清、说明或者更正不得超出响应文件的范围或者改变响应文件的实质性内容。</w:t>
      </w:r>
    </w:p>
    <w:p w14:paraId="2756A2F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61B2CB7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23.2需要供应商进行澄清、说明和补正的，磋商小组将通过苏采云系统向供应商发布</w:t>
      </w:r>
      <w:r>
        <w:rPr>
          <w:rFonts w:hint="eastAsia" w:ascii="宋体" w:hAnsi="宋体" w:cs="宋体"/>
          <w:sz w:val="24"/>
          <w:szCs w:val="24"/>
          <w:highlight w:val="none"/>
          <w:lang w:val="zh-CN"/>
        </w:rPr>
        <w:t>《澄清要求函》</w:t>
      </w:r>
      <w:r>
        <w:rPr>
          <w:rFonts w:hint="eastAsia" w:ascii="宋体" w:hAnsi="宋体" w:cs="宋体"/>
          <w:sz w:val="24"/>
          <w:szCs w:val="24"/>
          <w:highlight w:val="none"/>
        </w:rPr>
        <w:t>，接到</w:t>
      </w:r>
      <w:r>
        <w:rPr>
          <w:rFonts w:hint="eastAsia" w:ascii="宋体" w:hAnsi="宋体" w:cs="宋体"/>
          <w:sz w:val="24"/>
          <w:szCs w:val="24"/>
          <w:highlight w:val="none"/>
          <w:lang w:val="zh-CN"/>
        </w:rPr>
        <w:t>《澄清要求函》</w:t>
      </w:r>
      <w:r>
        <w:rPr>
          <w:rFonts w:hint="eastAsia" w:ascii="宋体" w:hAnsi="宋体" w:cs="宋体"/>
          <w:sz w:val="24"/>
          <w:szCs w:val="24"/>
          <w:highlight w:val="none"/>
        </w:rPr>
        <w:t>的供应商应当按照要求在苏采云系统中提交</w:t>
      </w:r>
      <w:r>
        <w:rPr>
          <w:rFonts w:hint="eastAsia" w:ascii="宋体" w:hAnsi="宋体" w:cs="宋体"/>
          <w:sz w:val="24"/>
          <w:szCs w:val="24"/>
          <w:highlight w:val="none"/>
          <w:lang w:val="zh-CN"/>
        </w:rPr>
        <w:t>《澄清要求函》</w:t>
      </w:r>
      <w:r>
        <w:rPr>
          <w:rFonts w:hint="eastAsia" w:ascii="宋体" w:hAnsi="宋体" w:cs="宋体"/>
          <w:sz w:val="24"/>
          <w:szCs w:val="24"/>
          <w:highlight w:val="none"/>
        </w:rPr>
        <w:t>并加盖电子公章。澄清、说明和更正的内容作为响应文件的补充部分，具体操作方式见《操作手册》。</w:t>
      </w:r>
    </w:p>
    <w:p w14:paraId="7D7E2DF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23.3接到磋商小组澄清、说明和更正要求的供应商如未按规定做出澄清、说明和更正，其风险由供应商自行承担。</w:t>
      </w:r>
    </w:p>
    <w:p w14:paraId="2EFD5725">
      <w:pPr>
        <w:pStyle w:val="237"/>
        <w:pageBreakBefore w:val="0"/>
        <w:spacing w:before="0" w:after="0" w:line="400" w:lineRule="exact"/>
        <w:ind w:firstLine="482"/>
        <w:rPr>
          <w:rFonts w:ascii="宋体" w:hAnsi="宋体" w:eastAsia="宋体" w:cs="宋体"/>
          <w:sz w:val="24"/>
          <w:szCs w:val="24"/>
          <w:highlight w:val="none"/>
        </w:rPr>
      </w:pPr>
      <w:bookmarkStart w:id="147" w:name="_Toc513029233"/>
      <w:bookmarkStart w:id="148" w:name="_Toc16938549"/>
      <w:bookmarkStart w:id="149" w:name="_Toc20823305"/>
      <w:r>
        <w:rPr>
          <w:rFonts w:hint="eastAsia" w:ascii="宋体" w:hAnsi="宋体" w:eastAsia="宋体" w:cs="宋体"/>
          <w:sz w:val="24"/>
          <w:szCs w:val="24"/>
          <w:highlight w:val="none"/>
        </w:rPr>
        <w:t>24.响应文件的审</w:t>
      </w:r>
      <w:bookmarkEnd w:id="147"/>
      <w:bookmarkEnd w:id="148"/>
      <w:bookmarkEnd w:id="149"/>
      <w:r>
        <w:rPr>
          <w:rFonts w:hint="eastAsia" w:ascii="宋体" w:hAnsi="宋体" w:eastAsia="宋体" w:cs="宋体"/>
          <w:sz w:val="24"/>
          <w:szCs w:val="24"/>
          <w:highlight w:val="none"/>
        </w:rPr>
        <w:t>查</w:t>
      </w:r>
    </w:p>
    <w:p w14:paraId="147E468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24.1响应文件审查分为资格审查和符合性审查。</w:t>
      </w:r>
    </w:p>
    <w:p w14:paraId="75B4A1E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24.1.1资格审查。依据法律法规和磋商文件的规定，对响应文件中的资格证明文件进行审查，以确定供应商是否具备参加磋商的资格。</w:t>
      </w:r>
    </w:p>
    <w:p w14:paraId="20259D3E">
      <w:pPr>
        <w:keepNext w:val="0"/>
        <w:keepLines w:val="0"/>
        <w:pageBreakBefore w:val="0"/>
        <w:widowControl w:val="0"/>
        <w:spacing w:line="400" w:lineRule="exact"/>
        <w:ind w:firstLine="480"/>
        <w:jc w:val="left"/>
        <w:rPr>
          <w:rFonts w:ascii="宋体" w:hAnsi="宋体" w:cs="宋体"/>
          <w:sz w:val="24"/>
          <w:szCs w:val="24"/>
          <w:highlight w:val="none"/>
        </w:rPr>
      </w:pPr>
      <w:r>
        <w:rPr>
          <w:rFonts w:hint="eastAsia" w:ascii="宋体" w:hAnsi="宋体" w:cs="宋体"/>
          <w:sz w:val="24"/>
          <w:szCs w:val="24"/>
          <w:highlight w:val="none"/>
        </w:rPr>
        <w:t>磋商小组在进行资格审查的同时，将在“信用中国”网站（www.creditchina.gov.cn）查询供应商的信用记录，以确定供应商是否具备磋商资格,查询结果留存并归档。</w:t>
      </w:r>
    </w:p>
    <w:p w14:paraId="29EA155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3C17B3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24.1.2符合性审查。依据磋商文件的规定，由磋商小组从响应文件的有效性、完整性和对磋商文件的响应程度进行审查，以确定是否对磋商文件的实质性要求作出响应。</w:t>
      </w:r>
    </w:p>
    <w:p w14:paraId="1E0FDDE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24.1.3未通过资格审查或符合性审查的供应商，磋商小组将在苏采云系统中告知具体原因，评审结束后磋商小组将不再告知未通过资格审查或符合性审查的原因。</w:t>
      </w:r>
    </w:p>
    <w:p w14:paraId="0D795A73">
      <w:pPr>
        <w:pageBreakBefore w:val="0"/>
        <w:widowControl/>
        <w:pBdr>
          <w:top w:val="none" w:color="000000" w:sz="0" w:space="0"/>
          <w:left w:val="none" w:color="000000" w:sz="0" w:space="0"/>
          <w:bottom w:val="none" w:color="000000" w:sz="0" w:space="0"/>
          <w:right w:val="none" w:color="000000" w:sz="0" w:space="0"/>
        </w:pBdr>
        <w:spacing w:line="400" w:lineRule="exact"/>
        <w:ind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lang w:val="en-US" w:eastAsia="zh-CN"/>
        </w:rPr>
        <w:t>24.2</w:t>
      </w:r>
      <w:r>
        <w:rPr>
          <w:rFonts w:hint="eastAsia" w:ascii="宋体" w:hAnsi="宋体" w:eastAsia="宋体" w:cs="宋体"/>
          <w:sz w:val="24"/>
          <w:highlight w:val="none"/>
        </w:rPr>
        <w:t>关于异常低价的审查</w:t>
      </w:r>
    </w:p>
    <w:p w14:paraId="753B5F54">
      <w:pPr>
        <w:pageBreakBefore w:val="0"/>
        <w:widowControl/>
        <w:pBdr>
          <w:top w:val="none" w:color="000000" w:sz="0" w:space="0"/>
          <w:left w:val="none" w:color="000000" w:sz="0" w:space="0"/>
          <w:bottom w:val="none" w:color="000000" w:sz="0" w:space="0"/>
          <w:right w:val="none" w:color="000000" w:sz="0" w:space="0"/>
        </w:pBdr>
        <w:spacing w:line="400" w:lineRule="exact"/>
        <w:ind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lang w:val="en-US" w:eastAsia="zh-CN"/>
        </w:rPr>
        <w:t>24.2.1</w:t>
      </w:r>
      <w:r>
        <w:rPr>
          <w:rFonts w:hint="eastAsia" w:ascii="宋体" w:hAnsi="宋体" w:eastAsia="宋体" w:cs="宋体"/>
          <w:sz w:val="24"/>
          <w:highlight w:val="none"/>
        </w:rPr>
        <w:t>评审过程中出现下列情形之一的，评审委员会将启动异常低价投标（响应）审查程序：</w:t>
      </w:r>
    </w:p>
    <w:p w14:paraId="28D04C5A">
      <w:pPr>
        <w:pageBreakBefore w:val="0"/>
        <w:widowControl/>
        <w:pBdr>
          <w:top w:val="none" w:color="000000" w:sz="0" w:space="0"/>
          <w:left w:val="none" w:color="000000" w:sz="0" w:space="0"/>
          <w:bottom w:val="none" w:color="000000" w:sz="0" w:space="0"/>
          <w:right w:val="none" w:color="000000" w:sz="0" w:space="0"/>
        </w:pBdr>
        <w:spacing w:line="400" w:lineRule="exact"/>
        <w:ind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rPr>
        <w:t>（1）投标（响应）报价低于采购项目预算50%的，即投标（响应）报价&lt;采购项目预算×50%；</w:t>
      </w:r>
    </w:p>
    <w:p w14:paraId="7BFA3EAF">
      <w:pPr>
        <w:pageBreakBefore w:val="0"/>
        <w:widowControl/>
        <w:pBdr>
          <w:top w:val="none" w:color="000000" w:sz="0" w:space="0"/>
          <w:left w:val="none" w:color="000000" w:sz="0" w:space="0"/>
          <w:bottom w:val="none" w:color="000000" w:sz="0" w:space="0"/>
          <w:right w:val="none" w:color="000000" w:sz="0" w:space="0"/>
        </w:pBdr>
        <w:spacing w:line="400" w:lineRule="exact"/>
        <w:ind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rPr>
        <w:t>（2）投标（响应）报价低于采购项目最高限价45%的，即投标（响应）报价&lt;采购项目最高限价×45%；</w:t>
      </w:r>
    </w:p>
    <w:p w14:paraId="1B04284E">
      <w:pPr>
        <w:pageBreakBefore w:val="0"/>
        <w:widowControl/>
        <w:pBdr>
          <w:top w:val="none" w:color="000000" w:sz="0" w:space="0"/>
          <w:left w:val="none" w:color="000000" w:sz="0" w:space="0"/>
          <w:bottom w:val="none" w:color="000000" w:sz="0" w:space="0"/>
          <w:right w:val="none" w:color="000000" w:sz="0" w:space="0"/>
        </w:pBdr>
        <w:spacing w:line="400" w:lineRule="exact"/>
        <w:ind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rPr>
        <w:t>（3）评审委员会认定的供应商报价过低、有可能影响产品质量或者不能诚信履约的其他情形。</w:t>
      </w:r>
    </w:p>
    <w:p w14:paraId="7E6E7C27">
      <w:pPr>
        <w:pageBreakBefore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24.2.2</w:t>
      </w:r>
      <w:r>
        <w:rPr>
          <w:rFonts w:hint="eastAsia" w:ascii="宋体" w:hAnsi="宋体" w:eastAsia="宋体" w:cs="宋体"/>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p>
    <w:p w14:paraId="7A2FEA8D">
      <w:pPr>
        <w:pageBreakBefore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在详细评审之前，磋商小组将首先审查每份响应文件是否实质性响应了磋商文件的要求。实质性响应的响应文件应该是与磋商文件要求的条款、条件和规格相符，没有重大偏离或保留的文件。</w:t>
      </w:r>
    </w:p>
    <w:p w14:paraId="56726E1F">
      <w:pPr>
        <w:pageBreakBefore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p>
    <w:p w14:paraId="753DB618">
      <w:pPr>
        <w:pageBreakBefore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未实质性响应磋商文件的情形</w:t>
      </w:r>
    </w:p>
    <w:p w14:paraId="761797B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.1供应商在苏采云系统规定的时间内未成功解密电子响应文件的。</w:t>
      </w:r>
    </w:p>
    <w:p w14:paraId="12EFE151">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.2供应商未按照磋商文件要求上传电子响应文件的。</w:t>
      </w:r>
    </w:p>
    <w:p w14:paraId="547AF4D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.3同一供应商提交两个（含两个）以上不同的响应文件或者最后报价的。</w:t>
      </w:r>
    </w:p>
    <w:p w14:paraId="71CA14D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.4供应商不具备磋商文件中规定资格要求的。</w:t>
      </w:r>
    </w:p>
    <w:p w14:paraId="0E0A06B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.5供应商的最后报价超过了采购预算或最高限价的。</w:t>
      </w:r>
    </w:p>
    <w:p w14:paraId="214E1B0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.6不符合磋商文件中规定的实质性要求和条件的（</w:t>
      </w:r>
      <w:r>
        <w:rPr>
          <w:rFonts w:hint="eastAsia" w:ascii="宋体" w:hAnsi="宋体" w:cs="宋体"/>
          <w:b/>
          <w:bCs/>
          <w:sz w:val="24"/>
          <w:szCs w:val="24"/>
          <w:highlight w:val="none"/>
        </w:rPr>
        <w:t>本磋商文件中斜体且有下划线部分</w:t>
      </w:r>
      <w:r>
        <w:rPr>
          <w:rFonts w:hint="eastAsia" w:ascii="宋体" w:hAnsi="宋体" w:cs="宋体"/>
          <w:b/>
          <w:bCs/>
          <w:sz w:val="24"/>
          <w:szCs w:val="24"/>
          <w:highlight w:val="none"/>
          <w:lang w:val="zh-CN"/>
        </w:rPr>
        <w:t>或者打“</w:t>
      </w:r>
      <w:r>
        <w:rPr>
          <w:rFonts w:hint="eastAsia" w:ascii="宋体" w:hAnsi="宋体" w:cs="宋体"/>
          <w:b/>
          <w:bCs/>
          <w:sz w:val="24"/>
          <w:szCs w:val="24"/>
          <w:highlight w:val="none"/>
        </w:rPr>
        <w:t>★</w:t>
      </w:r>
      <w:r>
        <w:rPr>
          <w:rFonts w:hint="eastAsia" w:ascii="宋体" w:hAnsi="宋体" w:cs="宋体"/>
          <w:b/>
          <w:bCs/>
          <w:sz w:val="24"/>
          <w:szCs w:val="24"/>
          <w:highlight w:val="none"/>
          <w:lang w:val="zh-CN"/>
        </w:rPr>
        <w:t>”内容，</w:t>
      </w:r>
      <w:r>
        <w:rPr>
          <w:rFonts w:hint="eastAsia" w:ascii="宋体" w:hAnsi="宋体" w:cs="宋体"/>
          <w:b/>
          <w:bCs/>
          <w:sz w:val="24"/>
          <w:szCs w:val="24"/>
          <w:highlight w:val="none"/>
        </w:rPr>
        <w:t>为实质性要求和条件</w:t>
      </w:r>
      <w:r>
        <w:rPr>
          <w:rFonts w:hint="eastAsia" w:ascii="宋体" w:hAnsi="宋体" w:cs="宋体"/>
          <w:sz w:val="24"/>
          <w:szCs w:val="24"/>
          <w:highlight w:val="none"/>
        </w:rPr>
        <w:t>）。</w:t>
      </w:r>
    </w:p>
    <w:p w14:paraId="75980AB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3779B6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.8响应文件含有采购人不能接受的附加条件的。</w:t>
      </w:r>
    </w:p>
    <w:p w14:paraId="21F1A1B1">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2D2F20A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.10响应文件未按照磋商文件要求加盖电子公章的。</w:t>
      </w:r>
    </w:p>
    <w:p w14:paraId="4CDE9C7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4</w:t>
      </w:r>
      <w:r>
        <w:rPr>
          <w:rFonts w:hint="eastAsia" w:ascii="宋体" w:hAnsi="宋体" w:cs="宋体"/>
          <w:sz w:val="24"/>
          <w:szCs w:val="24"/>
          <w:highlight w:val="none"/>
        </w:rPr>
        <w:t>.11法律法规及本磋商文件规定的其他无效响应的情形。</w:t>
      </w:r>
    </w:p>
    <w:p w14:paraId="579B618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5</w:t>
      </w:r>
      <w:r>
        <w:rPr>
          <w:rFonts w:hint="eastAsia" w:ascii="宋体" w:hAnsi="宋体" w:cs="宋体"/>
          <w:sz w:val="24"/>
          <w:szCs w:val="24"/>
          <w:highlight w:val="none"/>
        </w:rPr>
        <w:t>未实质性响应磋商文件的响应文件按无效响应处理。</w:t>
      </w:r>
    </w:p>
    <w:p w14:paraId="43B3BF8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24.</w:t>
      </w:r>
      <w:r>
        <w:rPr>
          <w:rFonts w:hint="eastAsia" w:ascii="宋体" w:hAnsi="宋体" w:cs="宋体"/>
          <w:sz w:val="24"/>
          <w:szCs w:val="24"/>
          <w:highlight w:val="none"/>
          <w:lang w:val="en-US" w:eastAsia="zh-CN"/>
        </w:rPr>
        <w:t>6</w:t>
      </w:r>
      <w:r>
        <w:rPr>
          <w:rFonts w:hint="eastAsia" w:ascii="宋体" w:hAnsi="宋体" w:cs="宋体"/>
          <w:sz w:val="24"/>
          <w:szCs w:val="24"/>
          <w:highlight w:val="none"/>
        </w:rPr>
        <w:t>如果响应文件实质上没有响应磋商文件的要求，磋商小组将予以拒绝，供应商不得通过修改或撤销不合要求的偏离或保留而使其成为实质性响应的文件。</w:t>
      </w:r>
    </w:p>
    <w:p w14:paraId="055AC172">
      <w:pPr>
        <w:pageBreakBefore w:val="0"/>
        <w:spacing w:line="400" w:lineRule="exact"/>
        <w:ind w:firstLine="480"/>
        <w:rPr>
          <w:rFonts w:ascii="宋体" w:hAnsi="宋体" w:cs="宋体"/>
          <w:sz w:val="24"/>
          <w:szCs w:val="24"/>
          <w:highlight w:val="none"/>
        </w:rPr>
      </w:pPr>
      <w:bookmarkStart w:id="150" w:name="_Toc20823306"/>
      <w:bookmarkStart w:id="151" w:name="_Toc16938550"/>
      <w:bookmarkStart w:id="152" w:name="_Toc513029234"/>
      <w:r>
        <w:rPr>
          <w:rFonts w:hint="eastAsia" w:ascii="宋体" w:hAnsi="宋体" w:cs="宋体"/>
          <w:sz w:val="24"/>
          <w:szCs w:val="24"/>
          <w:highlight w:val="none"/>
        </w:rPr>
        <w:t>24.</w:t>
      </w:r>
      <w:r>
        <w:rPr>
          <w:rFonts w:hint="eastAsia" w:ascii="宋体" w:hAnsi="宋体" w:cs="宋体"/>
          <w:sz w:val="24"/>
          <w:szCs w:val="24"/>
          <w:highlight w:val="none"/>
          <w:lang w:val="en-US" w:eastAsia="zh-CN"/>
        </w:rPr>
        <w:t>7</w:t>
      </w:r>
      <w:r>
        <w:rPr>
          <w:rFonts w:hint="eastAsia" w:ascii="宋体" w:hAnsi="宋体" w:cs="宋体"/>
          <w:sz w:val="24"/>
          <w:szCs w:val="24"/>
          <w:highlight w:val="none"/>
        </w:rPr>
        <w:t>供应商在项目评审全过程中应保持通讯畅通，并安排专人与交易中心及磋商小组联系。</w:t>
      </w:r>
    </w:p>
    <w:p w14:paraId="2169C2C7">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2</w:t>
      </w:r>
      <w:bookmarkEnd w:id="150"/>
      <w:bookmarkEnd w:id="151"/>
      <w:bookmarkEnd w:id="152"/>
      <w:r>
        <w:rPr>
          <w:rFonts w:hint="eastAsia" w:ascii="宋体" w:hAnsi="宋体" w:eastAsia="宋体" w:cs="宋体"/>
          <w:sz w:val="24"/>
          <w:szCs w:val="24"/>
          <w:highlight w:val="none"/>
        </w:rPr>
        <w:t>5.磋商程序及评审方法和评审标准</w:t>
      </w:r>
    </w:p>
    <w:p w14:paraId="0C1631DC">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25.1磋商程序</w:t>
      </w:r>
    </w:p>
    <w:p w14:paraId="7ECB224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25.1.1对于通过资格审查和符合性审查的供应商，磋商小组将集中与单一供应商分别进行磋商。磋商小组通过苏采云系统向供应商发布《磋商函》，供应商应当按照要求在苏采云系统提交《磋商响应函》并加盖电子公章。</w:t>
      </w:r>
    </w:p>
    <w:p w14:paraId="7729EB9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35D83F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9359C81">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126AD1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DB0AD7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p>
    <w:p w14:paraId="3C5987D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25.2评审方法和评审标准</w:t>
      </w:r>
    </w:p>
    <w:p w14:paraId="52A05D5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25.2.1评审方法。经磋商确定最终采购需求和提交最后报价的供应商后，由磋商小组采用综合评分法对提交最后报价的供应商的响应文件和最后报价进行综合评分。</w:t>
      </w:r>
    </w:p>
    <w:p w14:paraId="015A9E0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8D5672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25.2.2评审标准</w:t>
      </w:r>
    </w:p>
    <w:p w14:paraId="556B5C4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见本磋商文件第五章规定。</w:t>
      </w:r>
    </w:p>
    <w:p w14:paraId="3382E0B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25.3采购活动终止的情况</w:t>
      </w:r>
    </w:p>
    <w:p w14:paraId="5023B3B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出现下列情形之一的，本次竞争性磋商采购活动将被终止：</w:t>
      </w:r>
    </w:p>
    <w:p w14:paraId="216E4F6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25.3.1因情况变化，不再符合规定的竞争性磋商采购方式适用情形的。</w:t>
      </w:r>
    </w:p>
    <w:p w14:paraId="0277A6C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25.3.2出现影响采购公正的违法、违规行为的。</w:t>
      </w:r>
    </w:p>
    <w:p w14:paraId="6C6B6AE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25.3.3除本磋商文件第二章第25.1.2条第三款规定的情形外，在采购过程中符合要求的供应商或者最后报价未超过采购预算的供应商不足3家的。</w:t>
      </w:r>
    </w:p>
    <w:p w14:paraId="295172C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25.3.4在苏采云系统规定时间内成功解密电子响应文件的供应商不足3家的。</w:t>
      </w:r>
    </w:p>
    <w:p w14:paraId="3FB31A1F">
      <w:pPr>
        <w:pStyle w:val="236"/>
        <w:pageBreakBefore w:val="0"/>
        <w:spacing w:before="0" w:after="0" w:line="400" w:lineRule="exact"/>
        <w:ind w:firstLine="480"/>
        <w:rPr>
          <w:rFonts w:ascii="宋体" w:hAnsi="宋体" w:cs="宋体"/>
          <w:b w:val="0"/>
          <w:bCs w:val="0"/>
          <w:sz w:val="24"/>
          <w:szCs w:val="24"/>
          <w:highlight w:val="none"/>
        </w:rPr>
      </w:pPr>
      <w:bookmarkStart w:id="153" w:name="_Toc120614219"/>
      <w:bookmarkStart w:id="154" w:name="_Toc20823307"/>
      <w:bookmarkStart w:id="155" w:name="_Toc513029235"/>
      <w:bookmarkStart w:id="156" w:name="_Toc16938551"/>
      <w:r>
        <w:rPr>
          <w:rFonts w:hint="eastAsia" w:ascii="宋体" w:hAnsi="宋体" w:cs="宋体"/>
          <w:b w:val="0"/>
          <w:bCs w:val="0"/>
          <w:sz w:val="24"/>
          <w:szCs w:val="24"/>
          <w:highlight w:val="none"/>
        </w:rPr>
        <w:t>六、</w:t>
      </w:r>
      <w:bookmarkEnd w:id="153"/>
      <w:bookmarkEnd w:id="154"/>
      <w:bookmarkEnd w:id="155"/>
      <w:bookmarkEnd w:id="156"/>
      <w:r>
        <w:rPr>
          <w:rFonts w:hint="eastAsia" w:ascii="宋体" w:hAnsi="宋体" w:cs="宋体"/>
          <w:b w:val="0"/>
          <w:bCs w:val="0"/>
          <w:sz w:val="24"/>
          <w:szCs w:val="24"/>
          <w:highlight w:val="none"/>
        </w:rPr>
        <w:t>成交</w:t>
      </w:r>
    </w:p>
    <w:p w14:paraId="0D392E65">
      <w:pPr>
        <w:pStyle w:val="237"/>
        <w:pageBreakBefore w:val="0"/>
        <w:spacing w:before="0" w:after="0" w:line="400" w:lineRule="exact"/>
        <w:ind w:firstLine="482"/>
        <w:rPr>
          <w:rFonts w:ascii="宋体" w:hAnsi="宋体" w:eastAsia="宋体" w:cs="宋体"/>
          <w:sz w:val="24"/>
          <w:szCs w:val="24"/>
          <w:highlight w:val="none"/>
        </w:rPr>
      </w:pPr>
      <w:bookmarkStart w:id="157" w:name="_Toc513029238"/>
      <w:bookmarkStart w:id="158" w:name="_Toc16938554"/>
      <w:bookmarkStart w:id="159" w:name="_Toc20823310"/>
      <w:r>
        <w:rPr>
          <w:rFonts w:hint="eastAsia" w:ascii="宋体" w:hAnsi="宋体" w:eastAsia="宋体" w:cs="宋体"/>
          <w:sz w:val="24"/>
          <w:szCs w:val="24"/>
          <w:highlight w:val="none"/>
        </w:rPr>
        <w:t>2</w:t>
      </w:r>
      <w:bookmarkEnd w:id="157"/>
      <w:r>
        <w:rPr>
          <w:rFonts w:hint="eastAsia" w:ascii="宋体" w:hAnsi="宋体" w:eastAsia="宋体" w:cs="宋体"/>
          <w:sz w:val="24"/>
          <w:szCs w:val="24"/>
          <w:highlight w:val="none"/>
        </w:rPr>
        <w:t>6.确定</w:t>
      </w:r>
      <w:bookmarkEnd w:id="158"/>
      <w:bookmarkEnd w:id="159"/>
      <w:r>
        <w:rPr>
          <w:rFonts w:hint="eastAsia" w:ascii="宋体" w:hAnsi="宋体" w:eastAsia="宋体" w:cs="宋体"/>
          <w:sz w:val="24"/>
          <w:szCs w:val="24"/>
          <w:highlight w:val="none"/>
        </w:rPr>
        <w:t>成交单位</w:t>
      </w:r>
    </w:p>
    <w:p w14:paraId="710C8E5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26.1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评审方法与评审标准”确定的顺序推荐。</w:t>
      </w:r>
    </w:p>
    <w:p w14:paraId="6703788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26.2</w:t>
      </w:r>
      <w:r>
        <w:rPr>
          <w:rFonts w:hint="eastAsia" w:ascii="宋体" w:hAnsi="宋体" w:cs="宋体"/>
          <w:sz w:val="24"/>
          <w:szCs w:val="24"/>
          <w:highlight w:val="none"/>
          <w:lang w:val="zh-CN"/>
        </w:rPr>
        <w:t>按以下第（</w:t>
      </w:r>
      <w:r>
        <w:rPr>
          <w:rFonts w:hint="eastAsia" w:ascii="宋体" w:hAnsi="宋体" w:cs="宋体"/>
          <w:sz w:val="24"/>
          <w:szCs w:val="24"/>
          <w:highlight w:val="none"/>
        </w:rPr>
        <w:t>1</w:t>
      </w:r>
      <w:r>
        <w:rPr>
          <w:rFonts w:hint="eastAsia" w:ascii="宋体" w:hAnsi="宋体" w:cs="宋体"/>
          <w:sz w:val="24"/>
          <w:szCs w:val="24"/>
          <w:highlight w:val="none"/>
          <w:lang w:val="zh-CN"/>
        </w:rPr>
        <w:t>）种方式确定</w:t>
      </w:r>
      <w:r>
        <w:rPr>
          <w:rFonts w:hint="eastAsia" w:ascii="宋体" w:hAnsi="宋体" w:cs="宋体"/>
          <w:sz w:val="24"/>
          <w:szCs w:val="24"/>
          <w:highlight w:val="none"/>
        </w:rPr>
        <w:t>成交供应商</w:t>
      </w:r>
    </w:p>
    <w:p w14:paraId="554E0D2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sz w:val="24"/>
          <w:szCs w:val="24"/>
          <w:highlight w:val="none"/>
        </w:rPr>
        <w:t>磋商小组</w:t>
      </w:r>
      <w:r>
        <w:rPr>
          <w:rFonts w:hint="eastAsia" w:ascii="宋体" w:hAnsi="宋体" w:cs="宋体"/>
          <w:sz w:val="24"/>
          <w:szCs w:val="24"/>
          <w:highlight w:val="none"/>
          <w:lang w:val="zh-CN"/>
        </w:rPr>
        <w:t>直接确定排名第一的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为</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451961D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（2）采购人在</w:t>
      </w:r>
      <w:r>
        <w:rPr>
          <w:rFonts w:hint="eastAsia" w:ascii="宋体" w:hAnsi="宋体" w:cs="宋体"/>
          <w:sz w:val="24"/>
          <w:szCs w:val="24"/>
          <w:highlight w:val="none"/>
        </w:rPr>
        <w:t>磋商小组</w:t>
      </w:r>
      <w:r>
        <w:rPr>
          <w:rFonts w:hint="eastAsia" w:ascii="宋体" w:hAnsi="宋体" w:cs="宋体"/>
          <w:sz w:val="24"/>
          <w:szCs w:val="24"/>
          <w:highlight w:val="none"/>
          <w:lang w:val="zh-CN"/>
        </w:rPr>
        <w:t>推荐的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中按顺序确定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32829C5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按第二种方式确定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的，交易中心自评审结束之日起两个工作日内将评审报告送交采购人，采购人自收到评审报告之日起五个工作日内，在评审报告推荐的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中按顺序确定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0F0977B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26.3交易中心将在“江苏政府采购网”发布成交结果公告，公告期限为1个工作日。</w:t>
      </w:r>
    </w:p>
    <w:p w14:paraId="0EB189D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w:t>
      </w:r>
      <w:r>
        <w:rPr>
          <w:rFonts w:hint="eastAsia" w:ascii="宋体" w:hAnsi="宋体" w:cs="宋体"/>
          <w:b/>
          <w:bCs/>
          <w:sz w:val="24"/>
          <w:szCs w:val="24"/>
          <w:highlight w:val="none"/>
        </w:rPr>
        <w:t>若有充分证据证明，成交供应商出现下列情况之一的，一经查实，将被取消成交资格：</w:t>
      </w:r>
    </w:p>
    <w:p w14:paraId="56C5E38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26.4.1提供虚假材料谋取成交的。</w:t>
      </w:r>
    </w:p>
    <w:p w14:paraId="6BD2223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26.4.2与评审专家、采购人、其他供应商或者交易中心工作人员恶意串通的。</w:t>
      </w:r>
    </w:p>
    <w:p w14:paraId="601A9509">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26.4.3向评审专家、采购人或交易中心工作人员行贿或者提供其他不正当利益的。</w:t>
      </w:r>
    </w:p>
    <w:p w14:paraId="7AD212C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26.4.4恶意竞争，最后报价明显低于其自身合理成本且又无法提供证明的。</w:t>
      </w:r>
    </w:p>
    <w:p w14:paraId="061D063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26.4.5不满足本磋商文件规定的实质性要求，但在评审过程中未被磋商小组发现的。</w:t>
      </w:r>
    </w:p>
    <w:p w14:paraId="14590EFB">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26.4.6成交后无正当理由拒不与采购人签订政府采购合同或者未按照磋商文件确定的事项签订政府采购合同的。</w:t>
      </w:r>
    </w:p>
    <w:p w14:paraId="7965C501">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26.3.7将政府采购合同转包的。</w:t>
      </w:r>
    </w:p>
    <w:p w14:paraId="74D1A88E">
      <w:pPr>
        <w:pStyle w:val="237"/>
        <w:pageBreakBefore w:val="0"/>
        <w:spacing w:before="0" w:after="0" w:line="400" w:lineRule="exact"/>
        <w:ind w:firstLine="482"/>
        <w:rPr>
          <w:rFonts w:ascii="宋体" w:hAnsi="宋体" w:eastAsia="宋体" w:cs="宋体"/>
          <w:sz w:val="24"/>
          <w:szCs w:val="24"/>
          <w:highlight w:val="none"/>
        </w:rPr>
      </w:pPr>
      <w:bookmarkStart w:id="160" w:name="_Toc200451960"/>
      <w:r>
        <w:rPr>
          <w:rFonts w:hint="eastAsia" w:ascii="宋体" w:hAnsi="宋体" w:eastAsia="宋体" w:cs="宋体"/>
          <w:sz w:val="24"/>
          <w:szCs w:val="24"/>
          <w:highlight w:val="none"/>
        </w:rPr>
        <w:t>27.质疑处理</w:t>
      </w:r>
      <w:bookmarkEnd w:id="160"/>
    </w:p>
    <w:p w14:paraId="08CF9B79">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.1提出质疑的供应商应当是参与所质疑项目采购活动的供应商，潜在供应商依法获取其可质疑的采购文件的，可以对采购文件提出质疑。</w:t>
      </w:r>
    </w:p>
    <w:p w14:paraId="41674CE1">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.2供应商认为采购文件、采购过程和采购结果使自己的权益受到损害的，可以在知道或应知其权益受到损害之日起七个工作日内，根据2</w:t>
      </w:r>
      <w:r>
        <w:rPr>
          <w:rFonts w:hint="eastAsia" w:ascii="宋体" w:hAnsi="宋体" w:cs="宋体"/>
          <w:sz w:val="24"/>
          <w:szCs w:val="24"/>
          <w:highlight w:val="none"/>
        </w:rPr>
        <w:t>7</w:t>
      </w:r>
      <w:r>
        <w:rPr>
          <w:rFonts w:hint="eastAsia" w:ascii="宋体" w:hAnsi="宋体" w:cs="宋体"/>
          <w:sz w:val="24"/>
          <w:szCs w:val="24"/>
          <w:highlight w:val="none"/>
          <w:lang w:val="zh-CN"/>
        </w:rPr>
        <w:t>.4条的规定以书面形式向交易中心或采购人提出质疑。</w:t>
      </w:r>
      <w:r>
        <w:rPr>
          <w:rFonts w:hint="eastAsia" w:ascii="宋体" w:hAnsi="宋体" w:cs="宋体"/>
          <w:b/>
          <w:bCs/>
          <w:sz w:val="24"/>
          <w:szCs w:val="24"/>
          <w:highlight w:val="none"/>
          <w:lang w:val="zh-CN"/>
        </w:rPr>
        <w:t>上述应知其权益受到损害之日是指：</w:t>
      </w:r>
    </w:p>
    <w:p w14:paraId="275CAB6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.2.1对采购文件提出质疑的，为收到采购文件之日或者采购文件公告期限届满之日。</w:t>
      </w:r>
    </w:p>
    <w:p w14:paraId="6AA9BAB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.2.2对采购过程提出质疑的，为各采购程序环节结束之日。</w:t>
      </w:r>
    </w:p>
    <w:p w14:paraId="22BBA968">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.2.3对成交结果提出质疑的，为成交结果公告期限届满之日。</w:t>
      </w:r>
    </w:p>
    <w:p w14:paraId="0013363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27.3</w:t>
      </w:r>
      <w:r>
        <w:rPr>
          <w:rFonts w:hint="eastAsia" w:ascii="宋体" w:hAnsi="宋体" w:cs="宋体"/>
          <w:sz w:val="24"/>
          <w:szCs w:val="24"/>
          <w:highlight w:val="none"/>
          <w:lang w:val="zh-CN"/>
        </w:rPr>
        <w:t>供应商应当在法定质疑期内一次性提出针对同一采购程序环节的质疑。供应商如在法定期限内对同一采购程序环节提出多次质疑的，交易中心</w:t>
      </w:r>
      <w:r>
        <w:rPr>
          <w:rFonts w:hint="eastAsia" w:ascii="宋体" w:hAnsi="宋体" w:cs="宋体"/>
          <w:sz w:val="24"/>
          <w:szCs w:val="24"/>
          <w:highlight w:val="none"/>
        </w:rPr>
        <w:t>或</w:t>
      </w:r>
      <w:r>
        <w:rPr>
          <w:rFonts w:hint="eastAsia" w:ascii="宋体" w:hAnsi="宋体" w:cs="宋体"/>
          <w:sz w:val="24"/>
          <w:szCs w:val="24"/>
          <w:highlight w:val="none"/>
          <w:lang w:val="zh-CN"/>
        </w:rPr>
        <w:t>采购人将只对供应商第一次质疑作出答复。</w:t>
      </w:r>
    </w:p>
    <w:p w14:paraId="765DBFC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4</w:t>
      </w:r>
      <w:r>
        <w:rPr>
          <w:rFonts w:hint="eastAsia" w:ascii="宋体" w:hAnsi="宋体" w:cs="宋体"/>
          <w:sz w:val="24"/>
          <w:szCs w:val="24"/>
          <w:highlight w:val="none"/>
          <w:lang w:val="zh-CN"/>
        </w:rPr>
        <w:t>供应商提出质疑，应提交《质疑函》原件，且尽可能通过邮寄方式送达，交易中心和采购人不接受无运单的快件。《质疑函》应按照本采购文件中《质疑函范本》</w:t>
      </w:r>
      <w:r>
        <w:rPr>
          <w:rFonts w:hint="eastAsia" w:ascii="宋体" w:hAnsi="宋体" w:cs="宋体"/>
          <w:sz w:val="24"/>
          <w:szCs w:val="24"/>
          <w:highlight w:val="none"/>
        </w:rPr>
        <w:t>的</w:t>
      </w:r>
      <w:r>
        <w:rPr>
          <w:rFonts w:hint="eastAsia" w:ascii="宋体" w:hAnsi="宋体" w:cs="宋体"/>
          <w:sz w:val="24"/>
          <w:szCs w:val="24"/>
          <w:highlight w:val="none"/>
          <w:lang w:val="zh-CN"/>
        </w:rPr>
        <w:t>格式和内容填写。</w:t>
      </w:r>
    </w:p>
    <w:p w14:paraId="361009CA">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供应商如组成联合体参加磋商，《质疑函范本》中要求加盖公章之处，联合体各方均须按要求加盖公章。</w:t>
      </w:r>
    </w:p>
    <w:p w14:paraId="06A23DB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5</w:t>
      </w:r>
      <w:r>
        <w:rPr>
          <w:rFonts w:hint="eastAsia" w:ascii="宋体" w:hAnsi="宋体" w:cs="宋体"/>
          <w:b/>
          <w:bCs/>
          <w:sz w:val="24"/>
          <w:szCs w:val="24"/>
          <w:highlight w:val="none"/>
          <w:lang w:val="zh-CN"/>
        </w:rPr>
        <w:t>供应商（含潜在供应商）对采购方式、采购需求、供应商资格条件、评标方法和评标标准、合同文本的询问、质疑向采购人提出，由采购人负责答复。</w:t>
      </w:r>
      <w:r>
        <w:rPr>
          <w:rFonts w:hint="eastAsia" w:ascii="宋体" w:hAnsi="宋体" w:cs="宋体"/>
          <w:sz w:val="24"/>
          <w:szCs w:val="24"/>
          <w:highlight w:val="none"/>
          <w:lang w:val="zh-CN"/>
        </w:rPr>
        <w:t>供应商对除上述事项以外其他事项的询问、质疑向交易中心提出，由交易中心负责答复。</w:t>
      </w:r>
    </w:p>
    <w:p w14:paraId="433581A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交易中心和采购人只接收以纸质原件形式送达的质疑,建议供应商尽量通过邮寄方式提交质疑（交易中心和采购人不接受未填写快递运单的快件）。</w:t>
      </w:r>
    </w:p>
    <w:p w14:paraId="6E132F1A">
      <w:pPr>
        <w:pageBreakBefore w:val="0"/>
        <w:spacing w:line="400" w:lineRule="exact"/>
        <w:ind w:firstLine="482"/>
        <w:rPr>
          <w:rFonts w:ascii="宋体" w:hAnsi="宋体" w:cs="宋体"/>
          <w:b/>
          <w:bCs/>
          <w:sz w:val="24"/>
          <w:szCs w:val="24"/>
          <w:highlight w:val="none"/>
        </w:rPr>
      </w:pPr>
      <w:r>
        <w:rPr>
          <w:rFonts w:hint="eastAsia" w:ascii="宋体" w:hAnsi="宋体" w:cs="宋体"/>
          <w:b/>
          <w:bCs/>
          <w:sz w:val="24"/>
          <w:szCs w:val="24"/>
          <w:highlight w:val="none"/>
          <w:lang w:val="zh-CN"/>
        </w:rPr>
        <w:t>采购人《质疑</w:t>
      </w:r>
      <w:r>
        <w:rPr>
          <w:rFonts w:hint="eastAsia" w:ascii="宋体" w:hAnsi="宋体" w:cs="宋体"/>
          <w:b/>
          <w:bCs/>
          <w:sz w:val="24"/>
          <w:szCs w:val="24"/>
          <w:highlight w:val="none"/>
        </w:rPr>
        <w:t>函</w:t>
      </w:r>
      <w:r>
        <w:rPr>
          <w:rFonts w:hint="eastAsia" w:ascii="宋体" w:hAnsi="宋体" w:cs="宋体"/>
          <w:b/>
          <w:bCs/>
          <w:sz w:val="24"/>
          <w:szCs w:val="24"/>
          <w:highlight w:val="none"/>
          <w:lang w:val="zh-CN"/>
        </w:rPr>
        <w:t>》接收人及联系方式见采购文件第一章。</w:t>
      </w:r>
    </w:p>
    <w:p w14:paraId="1F79952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交易中心《质疑</w:t>
      </w:r>
      <w:r>
        <w:rPr>
          <w:rFonts w:hint="eastAsia" w:ascii="宋体" w:hAnsi="宋体" w:cs="宋体"/>
          <w:sz w:val="24"/>
          <w:szCs w:val="24"/>
          <w:highlight w:val="none"/>
        </w:rPr>
        <w:t>函</w:t>
      </w:r>
      <w:r>
        <w:rPr>
          <w:rFonts w:hint="eastAsia" w:ascii="宋体" w:hAnsi="宋体" w:cs="宋体"/>
          <w:sz w:val="24"/>
          <w:szCs w:val="24"/>
          <w:highlight w:val="none"/>
          <w:lang w:val="zh-CN"/>
        </w:rPr>
        <w:t>》接收部门为政府采购部（快递运单上的收件人填写“政府采购部”），地址：南京市浦口区象山路4号B座，南京市浦口区江浦街道象山路4号浦口市民中心B幢五楼受理大厅，联系电话：025-69659050</w:t>
      </w:r>
    </w:p>
    <w:p w14:paraId="510713E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以下情形的质疑不予受理：</w:t>
      </w:r>
    </w:p>
    <w:p w14:paraId="116D7B8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.1内容不符合《政府采购质疑和投诉办法》第十二条规定的质疑。</w:t>
      </w:r>
    </w:p>
    <w:p w14:paraId="61C183E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.2超出政府采购法定期限的质疑。</w:t>
      </w:r>
    </w:p>
    <w:p w14:paraId="60EE9087">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.3以传真、电子邮件等方式递交的非原件形式的质疑。</w:t>
      </w:r>
    </w:p>
    <w:p w14:paraId="64CD008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.4未参加磋商活动的供应商或在磋商活动中自身权益未受到损害的供应商所提出的质疑。</w:t>
      </w:r>
    </w:p>
    <w:p w14:paraId="1BB8A0D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.5供应商组成联合体参加磋商，联合体中任何一方或多方未按要求签字、盖章、加盖公章的质疑。</w:t>
      </w:r>
    </w:p>
    <w:p w14:paraId="0C68C84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7</w:t>
      </w:r>
      <w:r>
        <w:rPr>
          <w:rFonts w:hint="eastAsia" w:ascii="宋体" w:hAnsi="宋体" w:cs="宋体"/>
          <w:sz w:val="24"/>
          <w:szCs w:val="24"/>
          <w:highlight w:val="none"/>
          <w:lang w:val="zh-CN"/>
        </w:rPr>
        <w:t>.</w:t>
      </w:r>
      <w:r>
        <w:rPr>
          <w:rFonts w:hint="eastAsia" w:ascii="宋体" w:hAnsi="宋体" w:cs="宋体"/>
          <w:sz w:val="24"/>
          <w:szCs w:val="24"/>
          <w:highlight w:val="none"/>
        </w:rPr>
        <w:t>7</w:t>
      </w:r>
      <w:r>
        <w:rPr>
          <w:rFonts w:hint="eastAsia" w:ascii="宋体" w:hAnsi="宋体" w:cs="宋体"/>
          <w:sz w:val="24"/>
          <w:szCs w:val="24"/>
          <w:highlight w:val="none"/>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2B3FA4E2">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28.成交通知书</w:t>
      </w:r>
    </w:p>
    <w:p w14:paraId="1CAC052D">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28.1成交结果确定后，交易中心将向成交供应商发出《成交通知书》。交供应商可在成交结果公告届满之日起三十日内，登录苏采云系统下载。</w:t>
      </w:r>
    </w:p>
    <w:p w14:paraId="1A5B98D0">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因系统存储空间有限，自成交结果公告届满之日起三十日后，苏采云系统不再保证提供下载《成交通知书》服务,因未及时下载而造成的不利后果由成交供应商自行承担。</w:t>
      </w:r>
    </w:p>
    <w:p w14:paraId="75C28666">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28.2《成交通知书》将是合同的一个组成部分，对采购人和成交供应商均具有法律效力。《成交通知书》发出后，采购人改变成交结果的，或者成交供应商放弃成交项目的，应当依法承担法律责任。</w:t>
      </w:r>
    </w:p>
    <w:p w14:paraId="560BF32A">
      <w:pPr>
        <w:pStyle w:val="236"/>
        <w:pageBreakBefore w:val="0"/>
        <w:spacing w:before="0" w:after="0" w:line="400" w:lineRule="exact"/>
        <w:ind w:firstLine="480"/>
        <w:rPr>
          <w:rFonts w:ascii="宋体" w:hAnsi="宋体" w:cs="宋体"/>
          <w:b w:val="0"/>
          <w:bCs w:val="0"/>
          <w:sz w:val="24"/>
          <w:szCs w:val="24"/>
          <w:highlight w:val="none"/>
        </w:rPr>
      </w:pPr>
      <w:bookmarkStart w:id="161" w:name="_Toc120614220"/>
      <w:bookmarkStart w:id="162" w:name="_Toc513029236"/>
      <w:bookmarkStart w:id="163" w:name="_Toc16938552"/>
      <w:bookmarkStart w:id="164" w:name="_Toc20823308"/>
      <w:r>
        <w:rPr>
          <w:rFonts w:hint="eastAsia" w:ascii="宋体" w:hAnsi="宋体" w:cs="宋体"/>
          <w:b w:val="0"/>
          <w:bCs w:val="0"/>
          <w:sz w:val="24"/>
          <w:szCs w:val="24"/>
          <w:highlight w:val="none"/>
        </w:rPr>
        <w:t>七、授予合同</w:t>
      </w:r>
      <w:bookmarkEnd w:id="161"/>
      <w:bookmarkEnd w:id="162"/>
      <w:bookmarkEnd w:id="163"/>
      <w:bookmarkEnd w:id="164"/>
    </w:p>
    <w:p w14:paraId="5AD93483">
      <w:pPr>
        <w:pStyle w:val="237"/>
        <w:pageBreakBefore w:val="0"/>
        <w:spacing w:before="0" w:after="0" w:line="400" w:lineRule="exact"/>
        <w:ind w:firstLine="482"/>
        <w:rPr>
          <w:rFonts w:ascii="宋体" w:hAnsi="宋体" w:eastAsia="宋体" w:cs="宋体"/>
          <w:sz w:val="24"/>
          <w:szCs w:val="24"/>
          <w:highlight w:val="none"/>
        </w:rPr>
      </w:pPr>
      <w:bookmarkStart w:id="165" w:name="_Toc513029237"/>
      <w:bookmarkStart w:id="166" w:name="_Toc20823309"/>
      <w:bookmarkStart w:id="167" w:name="_Toc16938553"/>
      <w:r>
        <w:rPr>
          <w:rFonts w:hint="eastAsia" w:ascii="宋体" w:hAnsi="宋体" w:eastAsia="宋体" w:cs="宋体"/>
          <w:sz w:val="24"/>
          <w:szCs w:val="24"/>
          <w:highlight w:val="none"/>
        </w:rPr>
        <w:t>29.签订合同</w:t>
      </w:r>
    </w:p>
    <w:p w14:paraId="6063D113">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29.l成交供应商应当在《成交通知书》发出之日起三十日内，按照磋商文件确定的事项与采购人签订政府采购合同。</w:t>
      </w:r>
    </w:p>
    <w:p w14:paraId="398AC5AE">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29.2磋商文件、成交供应商的响应文件及磋商过程中有关澄清、承诺文件均作为合同附件。</w:t>
      </w:r>
    </w:p>
    <w:p w14:paraId="0536F5E5">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29.3签订合同后，成交供应商不得将合同标的进行转包。未经采购人同意，成交供应商也不得采用分包形式履行合同,否则采购人有权终止合同。转包或分包造成采购人损失的，成交供应商应承担相应赔偿责任。</w:t>
      </w:r>
    </w:p>
    <w:p w14:paraId="3E22EE12">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29.4成交供应商因自身原因拒绝与采购人签订合同的，不得参加</w:t>
      </w:r>
      <w:r>
        <w:rPr>
          <w:rFonts w:hint="eastAsia" w:ascii="宋体" w:hAnsi="宋体" w:cs="宋体"/>
          <w:sz w:val="24"/>
          <w:szCs w:val="24"/>
          <w:highlight w:val="none"/>
          <w:lang w:val="zh-CN"/>
        </w:rPr>
        <w:t>采购人</w:t>
      </w:r>
      <w:r>
        <w:rPr>
          <w:rFonts w:hint="eastAsia" w:ascii="宋体" w:hAnsi="宋体" w:cs="宋体"/>
          <w:sz w:val="24"/>
          <w:szCs w:val="24"/>
          <w:highlight w:val="none"/>
        </w:rPr>
        <w:t>重新组织的采购活动</w:t>
      </w:r>
      <w:r>
        <w:rPr>
          <w:rFonts w:hint="eastAsia" w:ascii="宋体" w:hAnsi="宋体" w:cs="宋体"/>
          <w:sz w:val="24"/>
          <w:szCs w:val="24"/>
          <w:highlight w:val="none"/>
          <w:lang w:val="zh-CN"/>
        </w:rPr>
        <w:t>。</w:t>
      </w:r>
    </w:p>
    <w:p w14:paraId="1502BBB3">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30.标的物的追加</w:t>
      </w:r>
    </w:p>
    <w:p w14:paraId="313B25BF">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30.1政府采购合同履行中，采购人需追加与合同标的相同的服务（包含与服务相关的货物），在不改变合同其他条款的前提下，可以与成交供应商协商签订补充合同，但所有补充合同的采购金额不超过原合同金额10%。</w:t>
      </w:r>
      <w:bookmarkEnd w:id="165"/>
      <w:bookmarkEnd w:id="166"/>
      <w:bookmarkEnd w:id="167"/>
    </w:p>
    <w:p w14:paraId="66140865">
      <w:pPr>
        <w:pStyle w:val="237"/>
        <w:pageBreakBefore w:val="0"/>
        <w:spacing w:before="0" w:after="0" w:line="40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31.政府采购履约资金扶持政策</w:t>
      </w:r>
    </w:p>
    <w:p w14:paraId="02207744">
      <w:pPr>
        <w:pageBreakBefore w:val="0"/>
        <w:spacing w:line="400" w:lineRule="exact"/>
        <w:ind w:firstLine="480"/>
        <w:rPr>
          <w:rFonts w:ascii="宋体" w:hAnsi="宋体" w:cs="宋体"/>
          <w:sz w:val="24"/>
          <w:szCs w:val="24"/>
          <w:highlight w:val="none"/>
        </w:rPr>
      </w:pPr>
      <w:r>
        <w:rPr>
          <w:rFonts w:hint="eastAsia" w:ascii="宋体" w:hAnsi="宋体" w:cs="宋体"/>
          <w:sz w:val="24"/>
          <w:szCs w:val="24"/>
          <w:highlight w:val="none"/>
        </w:rPr>
        <w:t>31.1成交供应商通过</w:t>
      </w:r>
      <w:r>
        <w:rPr>
          <w:rFonts w:hint="eastAsia" w:ascii="宋体" w:hAnsi="宋体" w:cs="宋体"/>
          <w:sz w:val="24"/>
          <w:szCs w:val="24"/>
          <w:highlight w:val="none"/>
          <w:lang w:val="zh-CN"/>
        </w:rPr>
        <w:t>南京市公共资源交易中心浦口分中心网站“小企业融资平台”，</w:t>
      </w:r>
      <w:r>
        <w:rPr>
          <w:rFonts w:hint="eastAsia" w:ascii="宋体" w:hAnsi="宋体" w:cs="宋体"/>
          <w:sz w:val="24"/>
          <w:szCs w:val="24"/>
          <w:highlight w:val="none"/>
        </w:rPr>
        <w:t>选择相应的金融机构</w:t>
      </w:r>
      <w:r>
        <w:rPr>
          <w:rFonts w:hint="eastAsia" w:ascii="宋体" w:hAnsi="宋体" w:cs="宋体"/>
          <w:sz w:val="24"/>
          <w:szCs w:val="24"/>
          <w:highlight w:val="none"/>
          <w:lang w:val="zh-CN"/>
        </w:rPr>
        <w:t>办理融资贷款。</w:t>
      </w:r>
    </w:p>
    <w:p w14:paraId="0A03FA00">
      <w:pPr>
        <w:spacing w:line="360" w:lineRule="auto"/>
        <w:rPr>
          <w:rFonts w:ascii="宋体" w:hAnsi="宋体" w:cs="宋体"/>
          <w:sz w:val="24"/>
          <w:szCs w:val="24"/>
          <w:highlight w:val="none"/>
        </w:rPr>
      </w:pPr>
      <w:r>
        <w:rPr>
          <w:rFonts w:hint="eastAsia" w:ascii="宋体" w:hAnsi="宋体" w:cs="宋体"/>
          <w:sz w:val="24"/>
          <w:szCs w:val="24"/>
          <w:highlight w:val="none"/>
        </w:rPr>
        <w:br w:type="page" w:clear="all"/>
      </w:r>
    </w:p>
    <w:p w14:paraId="13BE65F3">
      <w:pPr>
        <w:pStyle w:val="5"/>
        <w:jc w:val="center"/>
        <w:rPr>
          <w:highlight w:val="none"/>
        </w:rPr>
      </w:pPr>
      <w:r>
        <w:rPr>
          <w:rFonts w:hint="eastAsia"/>
          <w:highlight w:val="none"/>
        </w:rPr>
        <w:t>第三章合同</w:t>
      </w:r>
      <w:bookmarkEnd w:id="49"/>
      <w:bookmarkEnd w:id="50"/>
      <w:bookmarkEnd w:id="51"/>
      <w:bookmarkEnd w:id="52"/>
      <w:bookmarkEnd w:id="53"/>
      <w:r>
        <w:rPr>
          <w:rFonts w:hint="eastAsia"/>
          <w:highlight w:val="none"/>
        </w:rPr>
        <w:t>文本</w:t>
      </w:r>
    </w:p>
    <w:p w14:paraId="4A2EB536">
      <w:pPr>
        <w:spacing w:before="120" w:after="120"/>
        <w:jc w:val="center"/>
        <w:outlineLvl w:val="0"/>
        <w:rPr>
          <w:rFonts w:ascii="宋体" w:hAnsi="宋体"/>
          <w:bCs/>
          <w:sz w:val="24"/>
          <w:highlight w:val="none"/>
        </w:rPr>
      </w:pPr>
      <w:bookmarkStart w:id="168" w:name="_Hlt16619369"/>
      <w:bookmarkEnd w:id="168"/>
      <w:bookmarkStart w:id="169" w:name="_Toc20823315"/>
      <w:bookmarkStart w:id="170" w:name="_Toc16938559"/>
      <w:bookmarkStart w:id="171" w:name="_Toc513029243"/>
      <w:bookmarkStart w:id="172" w:name="_Hlt16619350"/>
      <w:bookmarkStart w:id="173" w:name="_Toc20823346"/>
      <w:bookmarkStart w:id="174" w:name="_Toc16938590"/>
      <w:bookmarkStart w:id="175" w:name="_Toc120614244"/>
      <w:bookmarkStart w:id="176" w:name="_Toc462564139"/>
      <w:bookmarkStart w:id="177" w:name="_Toc479757211"/>
      <w:r>
        <w:rPr>
          <w:rFonts w:hint="eastAsia" w:ascii="宋体" w:hAnsi="宋体"/>
          <w:bCs/>
          <w:sz w:val="24"/>
          <w:highlight w:val="none"/>
        </w:rPr>
        <w:t>以下为本项目的合同条款，合同双方不得对招标、投标文件内容作实质性修改。</w:t>
      </w:r>
    </w:p>
    <w:p w14:paraId="047963B4">
      <w:pPr>
        <w:pStyle w:val="245"/>
        <w:ind w:left="0"/>
        <w:rPr>
          <w:highlight w:val="none"/>
        </w:rPr>
      </w:pPr>
    </w:p>
    <w:p w14:paraId="434FF332">
      <w:pPr>
        <w:spacing w:before="120" w:after="120"/>
        <w:jc w:val="center"/>
        <w:outlineLvl w:val="0"/>
        <w:rPr>
          <w:rFonts w:ascii="方正小标宋简体" w:hAnsi="方正小标宋简体" w:eastAsia="方正小标宋简体" w:cs="方正小标宋简体"/>
          <w:bCs/>
          <w:sz w:val="32"/>
          <w:szCs w:val="32"/>
          <w:highlight w:val="none"/>
        </w:rPr>
      </w:pPr>
      <w:r>
        <w:rPr>
          <w:rFonts w:hint="eastAsia" w:hAnsi="宋体"/>
          <w:sz w:val="24"/>
          <w:szCs w:val="24"/>
          <w:highlight w:val="none"/>
        </w:rPr>
        <w:t>___________</w:t>
      </w:r>
      <w:r>
        <w:rPr>
          <w:rFonts w:hint="eastAsia" w:ascii="方正小标宋简体" w:hAnsi="方正小标宋简体" w:eastAsia="方正小标宋简体" w:cs="方正小标宋简体"/>
          <w:bCs/>
          <w:sz w:val="32"/>
          <w:szCs w:val="32"/>
          <w:highlight w:val="none"/>
        </w:rPr>
        <w:t>南京市政府采购合同（服务）</w:t>
      </w:r>
    </w:p>
    <w:p w14:paraId="25104A9D">
      <w:pPr>
        <w:spacing w:before="120" w:after="120" w:line="360" w:lineRule="auto"/>
        <w:jc w:val="left"/>
        <w:outlineLvl w:val="0"/>
        <w:rPr>
          <w:rFonts w:ascii="宋体" w:hAnsi="宋体" w:cs="Courier New"/>
          <w:sz w:val="24"/>
          <w:szCs w:val="24"/>
          <w:highlight w:val="none"/>
        </w:rPr>
      </w:pPr>
      <w:r>
        <w:rPr>
          <w:rFonts w:ascii="宋体" w:hAnsi="宋体" w:cs="Courier New"/>
          <w:sz w:val="24"/>
          <w:szCs w:val="24"/>
          <w:highlight w:val="none"/>
        </w:rPr>
        <w:t>合同编号：</w:t>
      </w:r>
      <w:r>
        <w:rPr>
          <w:rFonts w:hint="eastAsia" w:hAnsi="宋体"/>
          <w:sz w:val="24"/>
          <w:szCs w:val="24"/>
          <w:highlight w:val="none"/>
        </w:rPr>
        <w:t>___________</w:t>
      </w:r>
    </w:p>
    <w:p w14:paraId="5F2A8C00">
      <w:pPr>
        <w:spacing w:before="120" w:after="120" w:line="360" w:lineRule="auto"/>
        <w:outlineLvl w:val="0"/>
        <w:rPr>
          <w:rFonts w:ascii="宋体" w:hAnsi="宋体" w:cs="Courier New"/>
          <w:sz w:val="24"/>
          <w:szCs w:val="24"/>
          <w:highlight w:val="none"/>
        </w:rPr>
      </w:pPr>
      <w:r>
        <w:rPr>
          <w:rFonts w:ascii="宋体" w:hAnsi="宋体" w:cs="Courier New"/>
          <w:sz w:val="24"/>
          <w:szCs w:val="24"/>
          <w:highlight w:val="none"/>
        </w:rPr>
        <w:t>项目名称：</w:t>
      </w:r>
      <w:r>
        <w:rPr>
          <w:rFonts w:hint="eastAsia" w:hAnsi="宋体"/>
          <w:sz w:val="24"/>
          <w:szCs w:val="24"/>
          <w:highlight w:val="none"/>
        </w:rPr>
        <w:t>___________</w:t>
      </w:r>
      <w:r>
        <w:rPr>
          <w:rFonts w:ascii="宋体" w:hAnsi="宋体" w:cs="Courier New"/>
          <w:sz w:val="24"/>
          <w:szCs w:val="24"/>
          <w:highlight w:val="none"/>
        </w:rPr>
        <w:t xml:space="preserve">         项目编号：</w:t>
      </w:r>
      <w:r>
        <w:rPr>
          <w:rFonts w:hint="eastAsia" w:hAnsi="宋体"/>
          <w:sz w:val="24"/>
          <w:szCs w:val="24"/>
          <w:highlight w:val="none"/>
        </w:rPr>
        <w:t>___________</w:t>
      </w:r>
    </w:p>
    <w:p w14:paraId="17FED5BE">
      <w:pPr>
        <w:spacing w:before="120" w:after="120" w:line="360" w:lineRule="auto"/>
        <w:jc w:val="left"/>
        <w:outlineLvl w:val="0"/>
        <w:rPr>
          <w:rFonts w:ascii="宋体" w:hAnsi="宋体" w:cs="Courier New"/>
          <w:sz w:val="24"/>
          <w:szCs w:val="24"/>
          <w:highlight w:val="none"/>
        </w:rPr>
      </w:pPr>
      <w:r>
        <w:rPr>
          <w:rFonts w:ascii="宋体" w:hAnsi="宋体" w:cs="Courier New"/>
          <w:sz w:val="24"/>
          <w:szCs w:val="24"/>
          <w:highlight w:val="none"/>
        </w:rPr>
        <w:t>甲方：</w:t>
      </w:r>
      <w:r>
        <w:rPr>
          <w:rFonts w:hint="eastAsia" w:hAnsi="宋体"/>
          <w:sz w:val="24"/>
          <w:szCs w:val="24"/>
          <w:highlight w:val="none"/>
        </w:rPr>
        <w:t>___________</w:t>
      </w:r>
      <w:r>
        <w:rPr>
          <w:rFonts w:ascii="宋体" w:hAnsi="宋体" w:cs="Courier New"/>
          <w:sz w:val="24"/>
          <w:szCs w:val="24"/>
          <w:highlight w:val="none"/>
        </w:rPr>
        <w:t>（买方）</w:t>
      </w:r>
    </w:p>
    <w:p w14:paraId="34AD1432">
      <w:pPr>
        <w:spacing w:before="120" w:after="120" w:line="360" w:lineRule="auto"/>
        <w:jc w:val="left"/>
        <w:outlineLvl w:val="0"/>
        <w:rPr>
          <w:rFonts w:ascii="宋体" w:hAnsi="宋体" w:cs="Courier New"/>
          <w:sz w:val="24"/>
          <w:szCs w:val="24"/>
          <w:highlight w:val="none"/>
        </w:rPr>
      </w:pPr>
      <w:r>
        <w:rPr>
          <w:rFonts w:ascii="宋体" w:hAnsi="宋体" w:cs="Courier New"/>
          <w:sz w:val="24"/>
          <w:szCs w:val="24"/>
          <w:highlight w:val="none"/>
        </w:rPr>
        <w:t>乙方：</w:t>
      </w:r>
      <w:r>
        <w:rPr>
          <w:rFonts w:hint="eastAsia" w:hAnsi="宋体"/>
          <w:sz w:val="24"/>
          <w:szCs w:val="24"/>
          <w:highlight w:val="none"/>
        </w:rPr>
        <w:t>___________</w:t>
      </w:r>
      <w:r>
        <w:rPr>
          <w:rFonts w:ascii="宋体" w:hAnsi="宋体" w:cs="Courier New"/>
          <w:sz w:val="24"/>
          <w:szCs w:val="24"/>
          <w:highlight w:val="none"/>
        </w:rPr>
        <w:t>（卖方）</w:t>
      </w:r>
    </w:p>
    <w:p w14:paraId="02FDCFB8">
      <w:pPr>
        <w:spacing w:line="360" w:lineRule="auto"/>
        <w:jc w:val="left"/>
        <w:rPr>
          <w:rFonts w:ascii="宋体" w:hAnsi="宋体" w:cs="Courier New"/>
          <w:b/>
          <w:sz w:val="24"/>
          <w:szCs w:val="24"/>
          <w:highlight w:val="none"/>
        </w:rPr>
      </w:pPr>
      <w:r>
        <w:rPr>
          <w:rFonts w:ascii="宋体" w:hAnsi="宋体" w:cs="Courier New"/>
          <w:b/>
          <w:sz w:val="24"/>
          <w:szCs w:val="24"/>
          <w:highlight w:val="none"/>
        </w:rPr>
        <w:t xml:space="preserve">   </w:t>
      </w:r>
      <w:r>
        <w:rPr>
          <w:rFonts w:hint="eastAsia" w:ascii="宋体" w:hAnsi="宋体" w:cs="Courier New"/>
          <w:b/>
          <w:sz w:val="24"/>
          <w:szCs w:val="24"/>
          <w:highlight w:val="none"/>
        </w:rPr>
        <w:t xml:space="preserve"> </w:t>
      </w:r>
      <w:r>
        <w:rPr>
          <w:rFonts w:ascii="宋体" w:hAnsi="宋体" w:cs="Courier New"/>
          <w:sz w:val="24"/>
          <w:szCs w:val="24"/>
          <w:highlight w:val="none"/>
        </w:rPr>
        <w:t>甲、乙双方根据</w:t>
      </w:r>
      <w:r>
        <w:rPr>
          <w:rFonts w:hint="eastAsia" w:ascii="宋体" w:hAnsi="宋体" w:cs="Courier New"/>
          <w:sz w:val="24"/>
          <w:szCs w:val="24"/>
          <w:highlight w:val="none"/>
        </w:rPr>
        <w:t>南京市公共资源交易中心浦口分中心组织的</w:t>
      </w:r>
      <w:r>
        <w:rPr>
          <w:rFonts w:hint="eastAsia" w:hAnsi="宋体" w:cs="Courier New"/>
          <w:sz w:val="24"/>
          <w:szCs w:val="24"/>
          <w:highlight w:val="none"/>
        </w:rPr>
        <w:t>___________________</w:t>
      </w:r>
      <w:r>
        <w:rPr>
          <w:rFonts w:ascii="宋体" w:hAnsi="宋体" w:cs="Courier New"/>
          <w:sz w:val="24"/>
          <w:szCs w:val="24"/>
          <w:highlight w:val="none"/>
        </w:rPr>
        <w:t>项目公开招标结果，签署本合同。</w:t>
      </w:r>
    </w:p>
    <w:p w14:paraId="710A0EBD">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一、合同内容</w:t>
      </w:r>
    </w:p>
    <w:p w14:paraId="5FFC4ABC">
      <w:pPr>
        <w:spacing w:line="360" w:lineRule="auto"/>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标的</w:t>
      </w:r>
      <w:r>
        <w:rPr>
          <w:rFonts w:ascii="宋体" w:hAnsi="宋体" w:cs="Courier New"/>
          <w:sz w:val="24"/>
          <w:szCs w:val="24"/>
          <w:highlight w:val="none"/>
        </w:rPr>
        <w:t>名称：</w:t>
      </w:r>
      <w:r>
        <w:rPr>
          <w:rFonts w:hint="eastAsia" w:hAnsi="宋体"/>
          <w:sz w:val="24"/>
          <w:szCs w:val="24"/>
          <w:highlight w:val="none"/>
        </w:rPr>
        <w:t>___________</w:t>
      </w:r>
    </w:p>
    <w:p w14:paraId="3B380DD4">
      <w:pPr>
        <w:spacing w:line="360" w:lineRule="auto"/>
        <w:rPr>
          <w:rFonts w:ascii="宋体" w:hAnsi="宋体" w:cs="Courier New"/>
          <w:sz w:val="24"/>
          <w:szCs w:val="24"/>
          <w:highlight w:val="none"/>
        </w:rPr>
      </w:pPr>
      <w:r>
        <w:rPr>
          <w:rFonts w:ascii="宋体" w:hAnsi="宋体" w:cs="Courier New"/>
          <w:sz w:val="24"/>
          <w:szCs w:val="24"/>
          <w:highlight w:val="none"/>
        </w:rPr>
        <w:t>1.2</w:t>
      </w:r>
      <w:r>
        <w:rPr>
          <w:rFonts w:hint="eastAsia" w:ascii="宋体" w:hAnsi="宋体" w:cs="Courier New"/>
          <w:sz w:val="24"/>
          <w:szCs w:val="24"/>
          <w:highlight w:val="none"/>
        </w:rPr>
        <w:t xml:space="preserve"> 标的质量：</w:t>
      </w:r>
      <w:r>
        <w:rPr>
          <w:rFonts w:hint="eastAsia" w:hAnsi="宋体"/>
          <w:sz w:val="24"/>
          <w:szCs w:val="24"/>
          <w:highlight w:val="none"/>
        </w:rPr>
        <w:t>___________</w:t>
      </w:r>
    </w:p>
    <w:p w14:paraId="453AAE61">
      <w:pPr>
        <w:spacing w:line="360" w:lineRule="auto"/>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.3 标的数量（规模）：</w:t>
      </w:r>
      <w:r>
        <w:rPr>
          <w:rFonts w:hint="eastAsia" w:hAnsi="宋体"/>
          <w:sz w:val="24"/>
          <w:szCs w:val="24"/>
          <w:highlight w:val="none"/>
        </w:rPr>
        <w:t>___________</w:t>
      </w:r>
    </w:p>
    <w:p w14:paraId="717EFF9C">
      <w:pPr>
        <w:spacing w:line="360" w:lineRule="auto"/>
        <w:jc w:val="left"/>
        <w:outlineLvl w:val="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.4 履行时间（期限）：</w:t>
      </w:r>
      <w:r>
        <w:rPr>
          <w:rFonts w:hint="eastAsia" w:ascii="宋体" w:hAnsi="宋体" w:cs="宋体"/>
          <w:sz w:val="24"/>
          <w:szCs w:val="24"/>
          <w:highlight w:val="none"/>
        </w:rPr>
        <w:t>本次服务自合同签订之日起为期一年。</w:t>
      </w:r>
    </w:p>
    <w:p w14:paraId="3F6656CA">
      <w:pPr>
        <w:spacing w:line="360" w:lineRule="auto"/>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.5 履行地点：</w:t>
      </w:r>
      <w:r>
        <w:rPr>
          <w:rFonts w:hint="eastAsia" w:hAnsi="宋体"/>
          <w:sz w:val="24"/>
          <w:szCs w:val="24"/>
          <w:highlight w:val="none"/>
        </w:rPr>
        <w:t>___________</w:t>
      </w:r>
    </w:p>
    <w:p w14:paraId="2D9ABD42">
      <w:pPr>
        <w:spacing w:line="360" w:lineRule="auto"/>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.6 履行方式：</w:t>
      </w:r>
      <w:r>
        <w:rPr>
          <w:rFonts w:hint="eastAsia" w:hAnsi="宋体"/>
          <w:sz w:val="24"/>
          <w:szCs w:val="24"/>
          <w:highlight w:val="none"/>
        </w:rPr>
        <w:t>___________</w:t>
      </w:r>
    </w:p>
    <w:p w14:paraId="42837504">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二、合同金额</w:t>
      </w:r>
    </w:p>
    <w:p w14:paraId="6E6ABEFA">
      <w:pPr>
        <w:pStyle w:val="22"/>
        <w:spacing w:line="360" w:lineRule="auto"/>
        <w:rPr>
          <w:rFonts w:hAnsi="宋体"/>
          <w:sz w:val="24"/>
          <w:szCs w:val="24"/>
          <w:highlight w:val="none"/>
        </w:rPr>
      </w:pPr>
      <w:r>
        <w:rPr>
          <w:rFonts w:hAnsi="宋体"/>
          <w:sz w:val="24"/>
          <w:szCs w:val="24"/>
          <w:highlight w:val="none"/>
        </w:rPr>
        <w:t xml:space="preserve">2.1 </w:t>
      </w:r>
      <w:r>
        <w:rPr>
          <w:rFonts w:hint="eastAsia" w:hAnsi="宋体"/>
          <w:sz w:val="24"/>
          <w:szCs w:val="24"/>
          <w:highlight w:val="none"/>
        </w:rPr>
        <w:t>本合同金额为（大写）：___________圆（_____________元）人民币。</w:t>
      </w:r>
    </w:p>
    <w:p w14:paraId="3308434E">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三、技术资料</w:t>
      </w:r>
    </w:p>
    <w:p w14:paraId="5417BF3F">
      <w:pPr>
        <w:spacing w:line="360" w:lineRule="auto"/>
        <w:rPr>
          <w:rFonts w:ascii="宋体" w:hAnsi="宋体" w:cs="Courier New"/>
          <w:sz w:val="24"/>
          <w:szCs w:val="24"/>
          <w:highlight w:val="none"/>
        </w:rPr>
      </w:pPr>
      <w:r>
        <w:rPr>
          <w:rFonts w:hint="eastAsia" w:ascii="宋体" w:hAnsi="宋体" w:cs="Courier New"/>
          <w:sz w:val="24"/>
          <w:szCs w:val="24"/>
          <w:highlight w:val="none"/>
        </w:rPr>
        <w:t>3.1 乙方应按招标文件规定的时间向甲方提供服务（包含与服务相关的货物）的有关技术资料。</w:t>
      </w:r>
    </w:p>
    <w:p w14:paraId="5CB65BF6">
      <w:pPr>
        <w:spacing w:line="360" w:lineRule="auto"/>
        <w:rPr>
          <w:rFonts w:ascii="宋体" w:hAnsi="宋体" w:cs="Courier New"/>
          <w:sz w:val="24"/>
          <w:szCs w:val="24"/>
          <w:highlight w:val="none"/>
        </w:rPr>
      </w:pPr>
      <w:r>
        <w:rPr>
          <w:rFonts w:hint="eastAsia" w:ascii="宋体" w:hAnsi="宋体" w:cs="Courier New"/>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14F70CD">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四、知识产权</w:t>
      </w:r>
    </w:p>
    <w:p w14:paraId="2B460642">
      <w:pPr>
        <w:spacing w:line="360" w:lineRule="auto"/>
        <w:rPr>
          <w:rFonts w:ascii="宋体" w:hAnsi="宋体" w:cs="Courier New"/>
          <w:sz w:val="24"/>
          <w:szCs w:val="24"/>
          <w:highlight w:val="none"/>
        </w:rPr>
      </w:pPr>
      <w:r>
        <w:rPr>
          <w:rFonts w:hint="eastAsia" w:ascii="宋体" w:hAnsi="宋体" w:cs="Courier New"/>
          <w:sz w:val="24"/>
          <w:szCs w:val="24"/>
          <w:highlight w:val="none"/>
        </w:rPr>
        <w:t>4.1 乙方应保证甲方在使用、接受本合同服务（包含与服务相关的货物）或其任何一部分时不受第三方提出侵犯其专利权、版权、商标权和工业设计权等知识产权的起诉。一旦出现侵权，由乙方负全部责任。</w:t>
      </w:r>
    </w:p>
    <w:p w14:paraId="1002E4A4">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五、产权担保</w:t>
      </w:r>
    </w:p>
    <w:p w14:paraId="3BF668BD">
      <w:pPr>
        <w:spacing w:line="360" w:lineRule="auto"/>
        <w:rPr>
          <w:rFonts w:ascii="宋体" w:hAnsi="宋体" w:cs="Courier New"/>
          <w:sz w:val="24"/>
          <w:szCs w:val="24"/>
          <w:highlight w:val="none"/>
        </w:rPr>
      </w:pPr>
      <w:r>
        <w:rPr>
          <w:rFonts w:hint="eastAsia" w:ascii="宋体" w:hAnsi="宋体" w:cs="Courier New"/>
          <w:sz w:val="24"/>
          <w:szCs w:val="24"/>
          <w:highlight w:val="none"/>
        </w:rPr>
        <w:t>5.1 乙方保证所交付的服务（包含与服务相关的货物）的所有权完全属于乙方且无任何抵押、查封等产权瑕疵。</w:t>
      </w:r>
    </w:p>
    <w:p w14:paraId="17C8D26C">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六、履约保证金</w:t>
      </w:r>
    </w:p>
    <w:p w14:paraId="4F476C5E">
      <w:pPr>
        <w:spacing w:line="360" w:lineRule="auto"/>
        <w:rPr>
          <w:rFonts w:ascii="宋体" w:hAnsi="宋体" w:cs="Courier New"/>
          <w:sz w:val="24"/>
          <w:szCs w:val="24"/>
          <w:highlight w:val="none"/>
        </w:rPr>
      </w:pPr>
      <w:r>
        <w:rPr>
          <w:rFonts w:hint="eastAsia" w:ascii="宋体" w:hAnsi="宋体" w:cs="Courier New"/>
          <w:sz w:val="24"/>
          <w:szCs w:val="24"/>
          <w:highlight w:val="none"/>
        </w:rPr>
        <w:t>6.1 本项目乙方无需缴纳履约保证金。</w:t>
      </w:r>
    </w:p>
    <w:p w14:paraId="62EE2931">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七、合同转包或分包</w:t>
      </w:r>
    </w:p>
    <w:p w14:paraId="1F805FC7">
      <w:pPr>
        <w:spacing w:line="360" w:lineRule="auto"/>
        <w:rPr>
          <w:rFonts w:ascii="宋体" w:hAnsi="宋体" w:cs="Courier New"/>
          <w:sz w:val="24"/>
          <w:szCs w:val="24"/>
          <w:highlight w:val="none"/>
        </w:rPr>
      </w:pPr>
      <w:r>
        <w:rPr>
          <w:rFonts w:hint="eastAsia" w:ascii="宋体" w:hAnsi="宋体" w:cs="Courier New"/>
          <w:sz w:val="24"/>
          <w:szCs w:val="24"/>
          <w:highlight w:val="none"/>
        </w:rPr>
        <w:t>7.1 乙方不得将合同标的转包给他人履行。</w:t>
      </w:r>
    </w:p>
    <w:p w14:paraId="7F011DD6">
      <w:pPr>
        <w:spacing w:line="360" w:lineRule="auto"/>
        <w:rPr>
          <w:rFonts w:ascii="宋体" w:hAnsi="宋体" w:cs="Courier New"/>
          <w:sz w:val="24"/>
          <w:szCs w:val="24"/>
          <w:highlight w:val="none"/>
        </w:rPr>
      </w:pPr>
      <w:r>
        <w:rPr>
          <w:rFonts w:hint="eastAsia" w:ascii="宋体" w:hAnsi="宋体" w:cs="Courier New"/>
          <w:sz w:val="24"/>
          <w:szCs w:val="24"/>
          <w:highlight w:val="none"/>
        </w:rPr>
        <w:t>7.2 乙方不得将合同标的分包给他人履行。</w:t>
      </w:r>
    </w:p>
    <w:p w14:paraId="7EAB3067">
      <w:pPr>
        <w:spacing w:line="360" w:lineRule="auto"/>
        <w:rPr>
          <w:rFonts w:ascii="宋体" w:hAnsi="宋体" w:cs="Courier New"/>
          <w:sz w:val="24"/>
          <w:szCs w:val="24"/>
          <w:highlight w:val="none"/>
        </w:rPr>
      </w:pPr>
      <w:r>
        <w:rPr>
          <w:rFonts w:hint="eastAsia" w:ascii="宋体" w:hAnsi="宋体" w:cs="Courier New"/>
          <w:sz w:val="24"/>
          <w:szCs w:val="24"/>
          <w:highlight w:val="none"/>
        </w:rPr>
        <w:t>7.3 乙方如有转包或未经甲方同意的分包行为，甲方有权终止合同。</w:t>
      </w:r>
    </w:p>
    <w:p w14:paraId="22B18E2C">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八、合同款项支付</w:t>
      </w:r>
    </w:p>
    <w:p w14:paraId="6F3E5983">
      <w:pPr>
        <w:pStyle w:val="22"/>
        <w:spacing w:line="360" w:lineRule="auto"/>
        <w:rPr>
          <w:rFonts w:hAnsi="宋体"/>
          <w:sz w:val="24"/>
          <w:szCs w:val="24"/>
          <w:highlight w:val="none"/>
        </w:rPr>
      </w:pPr>
      <w:r>
        <w:rPr>
          <w:rFonts w:hint="eastAsia" w:hAnsi="宋体"/>
          <w:sz w:val="24"/>
          <w:szCs w:val="24"/>
          <w:highlight w:val="none"/>
        </w:rPr>
        <w:t>8.1 合同款项的支付方式及时间</w:t>
      </w:r>
    </w:p>
    <w:p w14:paraId="258D73BC">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8.1合同款项的支付方式及进度安排：</w:t>
      </w:r>
    </w:p>
    <w:p w14:paraId="0600BA4A">
      <w:pPr>
        <w:spacing w:line="264" w:lineRule="auto"/>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（1）合同签订生效后，支付合同总价款的30%作为预付款；</w:t>
      </w:r>
    </w:p>
    <w:p w14:paraId="174292B6">
      <w:pPr>
        <w:spacing w:line="264" w:lineRule="auto"/>
        <w:rPr>
          <w:rFonts w:hint="eastAsia" w:ascii="宋体" w:hAnsi="宋体" w:eastAsia="宋体" w:cs="Courier New"/>
          <w:color w:val="000000"/>
          <w:sz w:val="24"/>
          <w:szCs w:val="24"/>
          <w:highlight w:val="none"/>
          <w:lang w:eastAsia="zh-CN"/>
        </w:rPr>
      </w:pPr>
      <w:r>
        <w:rPr>
          <w:rFonts w:hint="default" w:ascii="宋体" w:hAnsi="宋体" w:eastAsia="宋体" w:cs="Courier New"/>
          <w:color w:val="000000"/>
          <w:sz w:val="24"/>
          <w:szCs w:val="24"/>
          <w:highlight w:val="none"/>
        </w:rPr>
        <w:t>（2）</w:t>
      </w:r>
      <w:r>
        <w:rPr>
          <w:rFonts w:hint="eastAsia" w:ascii="宋体" w:hAnsi="宋体" w:eastAsia="宋体" w:cs="Courier New"/>
          <w:color w:val="000000"/>
          <w:sz w:val="24"/>
          <w:szCs w:val="24"/>
          <w:highlight w:val="none"/>
          <w:lang w:eastAsia="zh-CN"/>
        </w:rPr>
        <w:t>待设备全部安装</w:t>
      </w:r>
      <w:r>
        <w:rPr>
          <w:rFonts w:hint="eastAsia" w:ascii="宋体" w:hAnsi="宋体" w:eastAsia="宋体" w:cs="Courier New"/>
          <w:color w:val="000000"/>
          <w:sz w:val="24"/>
          <w:szCs w:val="24"/>
          <w:highlight w:val="none"/>
          <w:lang w:val="en-US" w:eastAsia="zh-CN"/>
        </w:rPr>
        <w:t>并调试</w:t>
      </w:r>
      <w:r>
        <w:rPr>
          <w:rFonts w:hint="eastAsia" w:ascii="宋体" w:hAnsi="宋体" w:cs="Courier New"/>
          <w:color w:val="000000"/>
          <w:sz w:val="24"/>
          <w:szCs w:val="24"/>
          <w:highlight w:val="none"/>
          <w:lang w:val="en-US" w:eastAsia="zh-CN"/>
        </w:rPr>
        <w:t>完成并提供功能项测试报告，经甲方确认后</w:t>
      </w:r>
      <w:r>
        <w:rPr>
          <w:rFonts w:hint="eastAsia" w:ascii="宋体" w:hAnsi="宋体" w:eastAsia="宋体" w:cs="Courier New"/>
          <w:color w:val="000000"/>
          <w:sz w:val="24"/>
          <w:szCs w:val="24"/>
          <w:highlight w:val="none"/>
          <w:lang w:eastAsia="zh-CN"/>
        </w:rPr>
        <w:t>支付合同总价款的</w:t>
      </w:r>
      <w:r>
        <w:rPr>
          <w:rFonts w:hint="eastAsia" w:ascii="宋体" w:hAnsi="宋体" w:cs="Courier New"/>
          <w:color w:val="000000"/>
          <w:sz w:val="24"/>
          <w:szCs w:val="24"/>
          <w:highlight w:val="none"/>
          <w:lang w:val="en-US" w:eastAsia="zh-CN"/>
        </w:rPr>
        <w:t>40</w:t>
      </w:r>
      <w:r>
        <w:rPr>
          <w:rFonts w:hint="eastAsia" w:ascii="宋体" w:hAnsi="宋体" w:eastAsia="宋体" w:cs="Courier New"/>
          <w:color w:val="000000"/>
          <w:sz w:val="24"/>
          <w:szCs w:val="24"/>
          <w:highlight w:val="none"/>
          <w:lang w:eastAsia="zh-CN"/>
        </w:rPr>
        <w:t>%；</w:t>
      </w:r>
    </w:p>
    <w:p w14:paraId="4B510947">
      <w:pPr>
        <w:spacing w:line="264" w:lineRule="auto"/>
        <w:rPr>
          <w:rFonts w:hint="default"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3</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整体运行满一年后支付项目剩余30%。</w:t>
      </w:r>
    </w:p>
    <w:p w14:paraId="69C08C5C">
      <w:pPr>
        <w:pStyle w:val="22"/>
        <w:spacing w:line="264" w:lineRule="auto"/>
        <w:rPr>
          <w:rFonts w:hAnsi="宋体"/>
          <w:color w:val="000000"/>
          <w:sz w:val="24"/>
          <w:szCs w:val="24"/>
        </w:rPr>
      </w:pPr>
      <w:r>
        <w:rPr>
          <w:rFonts w:hint="eastAsia" w:hAnsi="宋体"/>
          <w:color w:val="000000"/>
          <w:sz w:val="24"/>
          <w:szCs w:val="24"/>
        </w:rPr>
        <w:t>8.2 根据工业和信息化部关于印发《保障中小企业款项支付投诉处理暂行办法》的通知（工信部企业〔2021〕224 号），甲方未按合同约定支付款项的，乙方可以向有关部门投诉。</w:t>
      </w:r>
    </w:p>
    <w:p w14:paraId="77805FE6">
      <w:pPr>
        <w:pStyle w:val="22"/>
        <w:spacing w:line="264" w:lineRule="auto"/>
        <w:rPr>
          <w:rFonts w:hAnsi="宋体"/>
          <w:color w:val="000000"/>
          <w:sz w:val="24"/>
          <w:szCs w:val="24"/>
        </w:rPr>
      </w:pPr>
      <w:r>
        <w:rPr>
          <w:rFonts w:hint="eastAsia" w:hAnsi="宋体"/>
          <w:color w:val="000000"/>
          <w:sz w:val="24"/>
          <w:szCs w:val="24"/>
        </w:rPr>
        <w:t>8.3 当采购数量与实际使用数量不一致时，乙方应根据实际使用量供货，合同的最终结算金额按实际使用量乘以成交单价进行计算。</w:t>
      </w:r>
    </w:p>
    <w:p w14:paraId="5A6B6A6F">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九、税费</w:t>
      </w:r>
    </w:p>
    <w:p w14:paraId="52186A54">
      <w:pPr>
        <w:spacing w:line="360" w:lineRule="auto"/>
        <w:rPr>
          <w:rFonts w:ascii="宋体" w:hAnsi="宋体" w:cs="Courier New"/>
          <w:sz w:val="24"/>
          <w:szCs w:val="24"/>
          <w:highlight w:val="none"/>
        </w:rPr>
      </w:pPr>
      <w:r>
        <w:rPr>
          <w:rFonts w:hint="eastAsia" w:ascii="宋体" w:hAnsi="宋体" w:cs="Courier New"/>
          <w:sz w:val="24"/>
          <w:szCs w:val="24"/>
          <w:highlight w:val="none"/>
        </w:rPr>
        <w:t>9.1 本合同执行中的相关税费均由乙方负担。</w:t>
      </w:r>
    </w:p>
    <w:p w14:paraId="767374B0">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十、项目验收</w:t>
      </w:r>
    </w:p>
    <w:p w14:paraId="5203D0A5">
      <w:pPr>
        <w:spacing w:line="360" w:lineRule="auto"/>
        <w:rPr>
          <w:rFonts w:ascii="宋体" w:hAnsi="宋体" w:cs="Courier New"/>
          <w:sz w:val="24"/>
          <w:szCs w:val="24"/>
          <w:highlight w:val="none"/>
        </w:rPr>
      </w:pPr>
      <w:r>
        <w:rPr>
          <w:rFonts w:hint="eastAsia" w:ascii="宋体" w:hAnsi="宋体" w:cs="Courier New"/>
          <w:sz w:val="24"/>
          <w:szCs w:val="24"/>
          <w:highlight w:val="none"/>
        </w:rPr>
        <w:t>10.1 甲方依法组织履约验收工作。</w:t>
      </w:r>
    </w:p>
    <w:p w14:paraId="5DE5DF5B">
      <w:pPr>
        <w:spacing w:line="360" w:lineRule="auto"/>
        <w:rPr>
          <w:rFonts w:ascii="宋体" w:hAnsi="宋体" w:cs="Courier New"/>
          <w:sz w:val="24"/>
          <w:szCs w:val="24"/>
          <w:highlight w:val="none"/>
        </w:rPr>
      </w:pPr>
      <w:r>
        <w:rPr>
          <w:rFonts w:hint="eastAsia" w:ascii="宋体" w:hAnsi="宋体" w:cs="Courier New"/>
          <w:sz w:val="24"/>
          <w:szCs w:val="24"/>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329DD8A3">
      <w:pPr>
        <w:spacing w:line="360" w:lineRule="auto"/>
        <w:rPr>
          <w:rFonts w:ascii="宋体" w:hAnsi="宋体" w:cs="Courier New"/>
          <w:sz w:val="24"/>
          <w:szCs w:val="24"/>
          <w:highlight w:val="none"/>
        </w:rPr>
      </w:pPr>
      <w:r>
        <w:rPr>
          <w:rFonts w:hint="eastAsia" w:ascii="宋体" w:hAnsi="宋体" w:cs="Courier New"/>
          <w:sz w:val="24"/>
          <w:szCs w:val="24"/>
          <w:highlight w:val="none"/>
        </w:rPr>
        <w:t>10.3 对于实际使用人和甲方分离的项目，甲方邀请实际使用人参与验收。</w:t>
      </w:r>
    </w:p>
    <w:p w14:paraId="7566F3D4">
      <w:pPr>
        <w:spacing w:line="360" w:lineRule="auto"/>
        <w:rPr>
          <w:rFonts w:ascii="宋体" w:hAnsi="宋体" w:cs="Courier New"/>
          <w:sz w:val="24"/>
          <w:szCs w:val="24"/>
          <w:highlight w:val="none"/>
        </w:rPr>
      </w:pPr>
      <w:r>
        <w:rPr>
          <w:rFonts w:hint="eastAsia" w:ascii="宋体" w:hAnsi="宋体" w:cs="Courier New"/>
          <w:sz w:val="24"/>
          <w:szCs w:val="24"/>
          <w:highlight w:val="none"/>
        </w:rPr>
        <w:t>10.4 如有必要，甲方可邀请参加本项目投标的其他供应商或第三方专业机构及专家参与验收，相关意见将作为验收结论的参考。</w:t>
      </w:r>
    </w:p>
    <w:p w14:paraId="7D7400E5">
      <w:pPr>
        <w:spacing w:line="360" w:lineRule="auto"/>
        <w:rPr>
          <w:rFonts w:ascii="宋体" w:hAnsi="宋体" w:cs="Courier New"/>
          <w:sz w:val="24"/>
          <w:szCs w:val="24"/>
          <w:highlight w:val="none"/>
        </w:rPr>
      </w:pPr>
      <w:r>
        <w:rPr>
          <w:rFonts w:hint="eastAsia" w:ascii="宋体" w:hAnsi="宋体" w:cs="Courier New"/>
          <w:sz w:val="24"/>
          <w:szCs w:val="24"/>
          <w:highlight w:val="none"/>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066C366A">
      <w:pPr>
        <w:spacing w:line="360" w:lineRule="auto"/>
        <w:rPr>
          <w:rFonts w:ascii="宋体" w:hAnsi="宋体" w:cs="Courier New"/>
          <w:sz w:val="24"/>
          <w:szCs w:val="24"/>
          <w:highlight w:val="none"/>
        </w:rPr>
      </w:pPr>
      <w:r>
        <w:rPr>
          <w:rFonts w:hint="eastAsia" w:ascii="宋体" w:hAnsi="宋体" w:cs="Courier New"/>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00E3C07">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十一、违约责任</w:t>
      </w:r>
    </w:p>
    <w:p w14:paraId="3E302756">
      <w:pPr>
        <w:spacing w:line="360" w:lineRule="auto"/>
        <w:rPr>
          <w:rFonts w:ascii="宋体" w:hAnsi="宋体" w:cs="Courier New"/>
          <w:sz w:val="24"/>
          <w:szCs w:val="24"/>
          <w:highlight w:val="none"/>
        </w:rPr>
      </w:pPr>
      <w:r>
        <w:rPr>
          <w:rFonts w:hint="eastAsia" w:ascii="宋体" w:hAnsi="宋体" w:cs="Courier New"/>
          <w:sz w:val="24"/>
          <w:szCs w:val="24"/>
          <w:highlight w:val="none"/>
        </w:rPr>
        <w:t>11.1 甲方无正当理由拒绝接受乙方提供服务的，应向乙方偿付拒绝接受服务合同总额</w:t>
      </w:r>
    </w:p>
    <w:p w14:paraId="48CA7F6C">
      <w:pPr>
        <w:spacing w:line="360" w:lineRule="auto"/>
        <w:rPr>
          <w:rFonts w:ascii="宋体" w:hAnsi="宋体" w:cs="Courier New"/>
          <w:sz w:val="24"/>
          <w:szCs w:val="24"/>
          <w:highlight w:val="none"/>
        </w:rPr>
      </w:pPr>
      <w:r>
        <w:rPr>
          <w:rFonts w:hint="eastAsia" w:ascii="宋体" w:hAnsi="宋体" w:cs="Courier New"/>
          <w:sz w:val="24"/>
          <w:szCs w:val="24"/>
          <w:highlight w:val="none"/>
          <w:u w:val="single"/>
        </w:rPr>
        <w:t xml:space="preserve"> </w:t>
      </w:r>
      <w:r>
        <w:rPr>
          <w:rFonts w:hint="eastAsia" w:hAnsi="宋体"/>
          <w:sz w:val="24"/>
          <w:szCs w:val="24"/>
          <w:highlight w:val="none"/>
          <w:u w:val="single"/>
        </w:rPr>
        <w:t xml:space="preserve">  %</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的违约金。</w:t>
      </w:r>
    </w:p>
    <w:p w14:paraId="0E9F6BA2">
      <w:pPr>
        <w:spacing w:line="360" w:lineRule="auto"/>
        <w:rPr>
          <w:rFonts w:ascii="宋体" w:hAnsi="宋体" w:cs="Courier New"/>
          <w:sz w:val="24"/>
          <w:szCs w:val="24"/>
          <w:highlight w:val="none"/>
        </w:rPr>
      </w:pPr>
      <w:r>
        <w:rPr>
          <w:rFonts w:hint="eastAsia" w:ascii="宋体" w:hAnsi="宋体" w:cs="Courier New"/>
          <w:sz w:val="24"/>
          <w:szCs w:val="24"/>
          <w:highlight w:val="none"/>
        </w:rPr>
        <w:t>11.2 甲方无故逾期验收和办理支付手续的，应按逾期付款总额每日</w:t>
      </w:r>
      <w:r>
        <w:rPr>
          <w:rFonts w:hAnsi="宋体" w:cs="Arial"/>
          <w:sz w:val="24"/>
          <w:szCs w:val="24"/>
          <w:highlight w:val="none"/>
        </w:rPr>
        <w:t>千分之五</w:t>
      </w:r>
      <w:r>
        <w:rPr>
          <w:rFonts w:hint="eastAsia" w:ascii="宋体" w:hAnsi="宋体" w:cs="Courier New"/>
          <w:sz w:val="24"/>
          <w:szCs w:val="24"/>
          <w:highlight w:val="none"/>
        </w:rPr>
        <w:t>向乙方支付违约金。</w:t>
      </w:r>
    </w:p>
    <w:p w14:paraId="7CA4EFD3">
      <w:pPr>
        <w:spacing w:line="360" w:lineRule="auto"/>
        <w:rPr>
          <w:rFonts w:ascii="宋体" w:hAnsi="宋体" w:cs="Courier New"/>
          <w:sz w:val="24"/>
          <w:szCs w:val="24"/>
          <w:highlight w:val="none"/>
        </w:rPr>
      </w:pPr>
      <w:r>
        <w:rPr>
          <w:rFonts w:hint="eastAsia" w:ascii="宋体" w:hAnsi="宋体" w:cs="Courier New"/>
          <w:sz w:val="24"/>
          <w:szCs w:val="24"/>
          <w:highlight w:val="none"/>
        </w:rPr>
        <w:t>11.3 乙方逾期提供服务的，应按逾期提供服务合同总额每日</w:t>
      </w:r>
      <w:r>
        <w:rPr>
          <w:rFonts w:hAnsi="宋体" w:cs="Arial"/>
          <w:sz w:val="24"/>
          <w:szCs w:val="24"/>
          <w:highlight w:val="none"/>
        </w:rPr>
        <w:t>千分之五</w:t>
      </w:r>
      <w:r>
        <w:rPr>
          <w:rFonts w:hint="eastAsia" w:ascii="宋体" w:hAnsi="宋体" w:cs="Courier New"/>
          <w:sz w:val="24"/>
          <w:szCs w:val="24"/>
          <w:highlight w:val="none"/>
        </w:rPr>
        <w:t>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highlight w:val="none"/>
          <w:u w:val="single"/>
        </w:rPr>
        <w:t xml:space="preserve">    </w:t>
      </w:r>
      <w:r>
        <w:rPr>
          <w:rFonts w:hint="eastAsia" w:hAnsi="宋体"/>
          <w:sz w:val="24"/>
          <w:szCs w:val="24"/>
          <w:highlight w:val="none"/>
          <w:u w:val="single"/>
        </w:rPr>
        <w:t xml:space="preserve"> %</w:t>
      </w:r>
      <w:r>
        <w:rPr>
          <w:rFonts w:hint="eastAsia" w:ascii="宋体" w:hAnsi="宋体" w:cs="Courier New"/>
          <w:sz w:val="24"/>
          <w:szCs w:val="24"/>
          <w:highlight w:val="none"/>
        </w:rPr>
        <w:t>的违约金。</w:t>
      </w:r>
    </w:p>
    <w:p w14:paraId="0726A82D">
      <w:pPr>
        <w:spacing w:line="360" w:lineRule="auto"/>
        <w:rPr>
          <w:rFonts w:ascii="宋体" w:hAnsi="宋体" w:cs="Courier New"/>
          <w:sz w:val="24"/>
          <w:szCs w:val="24"/>
          <w:highlight w:val="none"/>
        </w:rPr>
      </w:pPr>
      <w:r>
        <w:rPr>
          <w:rFonts w:hint="eastAsia" w:ascii="宋体" w:hAnsi="宋体" w:cs="Courier New"/>
          <w:sz w:val="24"/>
          <w:szCs w:val="24"/>
          <w:highlight w:val="none"/>
        </w:rPr>
        <w:t>11.4 乙方所提供服务的标准不符合合同规定及招标文件规定标准的，甲方有权拒绝接受服务，并可单方面解除合同。</w:t>
      </w:r>
    </w:p>
    <w:p w14:paraId="45B02E15">
      <w:pPr>
        <w:spacing w:line="360" w:lineRule="auto"/>
        <w:rPr>
          <w:highlight w:val="none"/>
        </w:rPr>
      </w:pPr>
      <w:r>
        <w:rPr>
          <w:rFonts w:hint="eastAsia" w:ascii="宋体" w:hAnsi="宋体" w:cs="Courier New"/>
          <w:sz w:val="24"/>
          <w:szCs w:val="24"/>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436F0217">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十二、不可抗力事件处理</w:t>
      </w:r>
    </w:p>
    <w:p w14:paraId="312EB29D">
      <w:pPr>
        <w:spacing w:line="360" w:lineRule="auto"/>
        <w:rPr>
          <w:rFonts w:ascii="宋体" w:hAnsi="宋体" w:cs="Courier New"/>
          <w:sz w:val="24"/>
          <w:szCs w:val="24"/>
          <w:highlight w:val="none"/>
        </w:rPr>
      </w:pPr>
      <w:r>
        <w:rPr>
          <w:rFonts w:hint="eastAsia" w:ascii="宋体" w:hAnsi="宋体" w:cs="Courier New"/>
          <w:sz w:val="24"/>
          <w:szCs w:val="24"/>
          <w:highlight w:val="none"/>
        </w:rPr>
        <w:t>12.1 在合同有效期内，任何一方因不可抗力事件导致不能履行合同，则合同履行期可延长，其延长期与不可抗力影响期相同。</w:t>
      </w:r>
    </w:p>
    <w:p w14:paraId="30BBD73A">
      <w:pPr>
        <w:spacing w:line="360" w:lineRule="auto"/>
        <w:rPr>
          <w:rFonts w:ascii="宋体" w:hAnsi="宋体" w:cs="Courier New"/>
          <w:sz w:val="24"/>
          <w:szCs w:val="24"/>
          <w:highlight w:val="none"/>
        </w:rPr>
      </w:pPr>
      <w:r>
        <w:rPr>
          <w:rFonts w:hint="eastAsia" w:ascii="宋体" w:hAnsi="宋体" w:cs="Courier New"/>
          <w:sz w:val="24"/>
          <w:szCs w:val="24"/>
          <w:highlight w:val="none"/>
        </w:rPr>
        <w:t>12.2 不可抗力事件发生后，应立即通知对方并寄送有关权威机构出具的证明。</w:t>
      </w:r>
    </w:p>
    <w:p w14:paraId="720144AA">
      <w:pPr>
        <w:spacing w:line="360" w:lineRule="auto"/>
        <w:rPr>
          <w:rFonts w:ascii="宋体" w:hAnsi="宋体" w:cs="Courier New"/>
          <w:sz w:val="24"/>
          <w:szCs w:val="24"/>
          <w:highlight w:val="none"/>
        </w:rPr>
      </w:pPr>
      <w:r>
        <w:rPr>
          <w:rFonts w:hint="eastAsia" w:ascii="宋体" w:hAnsi="宋体" w:cs="Courier New"/>
          <w:sz w:val="24"/>
          <w:szCs w:val="24"/>
          <w:highlight w:val="none"/>
        </w:rPr>
        <w:t>12.3 不可抗力事件延续120天以上，双方应通过友好协商，确定是否继续履行合同。</w:t>
      </w:r>
    </w:p>
    <w:p w14:paraId="58EBFD02">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十三、解决争议的方法</w:t>
      </w:r>
    </w:p>
    <w:p w14:paraId="724A5137">
      <w:pPr>
        <w:spacing w:line="360" w:lineRule="auto"/>
        <w:rPr>
          <w:rFonts w:ascii="宋体" w:hAnsi="宋体" w:cs="Courier New"/>
          <w:sz w:val="24"/>
          <w:szCs w:val="24"/>
          <w:highlight w:val="none"/>
        </w:rPr>
      </w:pPr>
      <w:r>
        <w:rPr>
          <w:rFonts w:hint="eastAsia" w:ascii="宋体" w:hAnsi="宋体" w:cs="Courier New"/>
          <w:sz w:val="24"/>
          <w:szCs w:val="24"/>
          <w:highlight w:val="none"/>
        </w:rPr>
        <w:t>13.1 双方在签订、履行合同中所发生的一切争议，应通过友好协商解决。如协商不成的由甲方住所地人民法院管辖。</w:t>
      </w:r>
    </w:p>
    <w:p w14:paraId="5A848196">
      <w:pPr>
        <w:spacing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十四、合同生效及其它</w:t>
      </w:r>
    </w:p>
    <w:p w14:paraId="2C9B62BB">
      <w:pPr>
        <w:spacing w:line="360" w:lineRule="auto"/>
        <w:rPr>
          <w:rFonts w:ascii="宋体" w:hAnsi="宋体" w:cs="Courier New"/>
          <w:sz w:val="24"/>
          <w:szCs w:val="24"/>
          <w:highlight w:val="none"/>
        </w:rPr>
      </w:pPr>
      <w:r>
        <w:rPr>
          <w:rFonts w:hint="eastAsia" w:ascii="宋体" w:hAnsi="宋体" w:cs="Courier New"/>
          <w:sz w:val="24"/>
          <w:szCs w:val="24"/>
          <w:highlight w:val="none"/>
        </w:rPr>
        <w:t>14.1 本合同经双方加盖单位公章后生效。</w:t>
      </w:r>
    </w:p>
    <w:p w14:paraId="3742077C">
      <w:pPr>
        <w:spacing w:line="360" w:lineRule="auto"/>
        <w:rPr>
          <w:rFonts w:ascii="宋体" w:hAnsi="宋体" w:cs="Courier New"/>
          <w:sz w:val="24"/>
          <w:szCs w:val="24"/>
          <w:highlight w:val="none"/>
        </w:rPr>
      </w:pPr>
      <w:r>
        <w:rPr>
          <w:rFonts w:hint="eastAsia" w:ascii="宋体" w:hAnsi="宋体" w:cs="Courier New"/>
          <w:sz w:val="24"/>
          <w:szCs w:val="24"/>
          <w:highlight w:val="none"/>
        </w:rPr>
        <w:t>14.2 本合同未尽事宜，遵照《中华人民共和国民法典》《中华人民共和国政府采购法》有关条文执行。</w:t>
      </w:r>
    </w:p>
    <w:p w14:paraId="6FC4CE3B">
      <w:pPr>
        <w:spacing w:line="360" w:lineRule="auto"/>
        <w:rPr>
          <w:rFonts w:ascii="宋体" w:hAnsi="宋体" w:cs="Courier New"/>
          <w:sz w:val="24"/>
          <w:szCs w:val="24"/>
          <w:highlight w:val="none"/>
        </w:rPr>
      </w:pPr>
      <w:r>
        <w:rPr>
          <w:rFonts w:hint="eastAsia" w:ascii="宋体" w:hAnsi="宋体" w:cs="Courier New"/>
          <w:sz w:val="24"/>
          <w:szCs w:val="24"/>
          <w:highlight w:val="none"/>
        </w:rPr>
        <w:t>14.3 本合同正本一式两份，具有同等法律效力，甲方、乙方各执一份。</w:t>
      </w:r>
    </w:p>
    <w:p w14:paraId="285F3CF8">
      <w:pPr>
        <w:pStyle w:val="22"/>
        <w:spacing w:before="120" w:after="120" w:line="360" w:lineRule="auto"/>
        <w:rPr>
          <w:rFonts w:hAnsi="宋体"/>
          <w:sz w:val="24"/>
          <w:szCs w:val="24"/>
          <w:highlight w:val="none"/>
        </w:rPr>
      </w:pPr>
      <w:r>
        <w:rPr>
          <w:rFonts w:hint="eastAsia" w:hAnsi="宋体"/>
          <w:sz w:val="24"/>
          <w:szCs w:val="24"/>
          <w:highlight w:val="none"/>
        </w:rPr>
        <w:t xml:space="preserve">  </w:t>
      </w:r>
      <w:bookmarkEnd w:id="169"/>
      <w:bookmarkEnd w:id="170"/>
      <w:bookmarkEnd w:id="171"/>
    </w:p>
    <w:p w14:paraId="38527DB8">
      <w:pPr>
        <w:pStyle w:val="22"/>
        <w:spacing w:before="120" w:after="120" w:line="360" w:lineRule="auto"/>
        <w:ind w:firstLine="240"/>
        <w:rPr>
          <w:rFonts w:hAnsi="宋体"/>
          <w:sz w:val="24"/>
          <w:szCs w:val="24"/>
          <w:highlight w:val="none"/>
        </w:rPr>
      </w:pPr>
      <w:r>
        <w:rPr>
          <w:rFonts w:hint="eastAsia" w:hAnsi="宋体"/>
          <w:sz w:val="24"/>
          <w:szCs w:val="24"/>
          <w:highlight w:val="none"/>
        </w:rPr>
        <w:t xml:space="preserve">甲方：（公章）                       乙方：（公章） </w:t>
      </w:r>
    </w:p>
    <w:p w14:paraId="07A91734">
      <w:pPr>
        <w:pStyle w:val="22"/>
        <w:spacing w:before="120" w:after="120" w:line="360" w:lineRule="auto"/>
        <w:rPr>
          <w:rFonts w:hAnsi="宋体"/>
          <w:sz w:val="24"/>
          <w:szCs w:val="24"/>
          <w:highlight w:val="none"/>
        </w:rPr>
      </w:pPr>
      <w:r>
        <w:rPr>
          <w:rFonts w:hint="eastAsia" w:hAnsi="宋体"/>
          <w:sz w:val="24"/>
          <w:szCs w:val="24"/>
          <w:highlight w:val="none"/>
        </w:rPr>
        <w:t xml:space="preserve">  地址：                               地址： </w:t>
      </w:r>
    </w:p>
    <w:p w14:paraId="328A58E4">
      <w:pPr>
        <w:pStyle w:val="22"/>
        <w:spacing w:before="120" w:after="120" w:line="360" w:lineRule="auto"/>
        <w:rPr>
          <w:rFonts w:hAnsi="宋体"/>
          <w:sz w:val="24"/>
          <w:szCs w:val="24"/>
          <w:highlight w:val="none"/>
        </w:rPr>
      </w:pPr>
      <w:r>
        <w:rPr>
          <w:rFonts w:hint="eastAsia" w:hAnsi="宋体"/>
          <w:sz w:val="24"/>
          <w:szCs w:val="24"/>
          <w:highlight w:val="none"/>
        </w:rPr>
        <w:t xml:space="preserve">  法定代表人或授权代表：               法定代表人或授权代表：</w:t>
      </w:r>
    </w:p>
    <w:p w14:paraId="72021BD9">
      <w:pPr>
        <w:pStyle w:val="22"/>
        <w:spacing w:before="120" w:after="120" w:line="360" w:lineRule="auto"/>
        <w:ind w:firstLine="240"/>
        <w:rPr>
          <w:rFonts w:hAnsi="宋体"/>
          <w:sz w:val="24"/>
          <w:szCs w:val="24"/>
          <w:highlight w:val="none"/>
        </w:rPr>
      </w:pPr>
      <w:r>
        <w:rPr>
          <w:rFonts w:hint="eastAsia" w:hAnsi="宋体"/>
          <w:sz w:val="24"/>
          <w:szCs w:val="24"/>
          <w:highlight w:val="none"/>
        </w:rPr>
        <w:t xml:space="preserve">联系电话：                           联系电话：          </w:t>
      </w:r>
    </w:p>
    <w:p w14:paraId="15825DDB">
      <w:pPr>
        <w:pStyle w:val="22"/>
        <w:spacing w:before="120" w:after="120" w:line="360" w:lineRule="auto"/>
        <w:rPr>
          <w:rFonts w:hAnsi="宋体"/>
          <w:sz w:val="24"/>
          <w:szCs w:val="24"/>
          <w:highlight w:val="none"/>
        </w:rPr>
      </w:pPr>
      <w:r>
        <w:rPr>
          <w:rFonts w:hint="eastAsia" w:hAnsi="宋体"/>
          <w:sz w:val="24"/>
          <w:szCs w:val="24"/>
          <w:highlight w:val="none"/>
        </w:rPr>
        <w:t xml:space="preserve">                                          </w:t>
      </w:r>
    </w:p>
    <w:p w14:paraId="24059E33">
      <w:pPr>
        <w:pStyle w:val="22"/>
        <w:spacing w:before="120" w:after="120" w:line="360" w:lineRule="auto"/>
        <w:ind w:firstLine="5280"/>
        <w:rPr>
          <w:rFonts w:hAnsi="宋体"/>
          <w:sz w:val="24"/>
          <w:szCs w:val="24"/>
          <w:highlight w:val="none"/>
        </w:rPr>
      </w:pPr>
      <w:r>
        <w:rPr>
          <w:rFonts w:hint="eastAsia" w:hAnsi="宋体"/>
          <w:sz w:val="24"/>
          <w:szCs w:val="24"/>
          <w:highlight w:val="none"/>
        </w:rPr>
        <w:t>签订日期：</w:t>
      </w:r>
    </w:p>
    <w:p w14:paraId="7FBB91F7">
      <w:pPr>
        <w:spacing w:before="120" w:after="120" w:line="360" w:lineRule="auto"/>
        <w:jc w:val="center"/>
        <w:outlineLvl w:val="0"/>
        <w:rPr>
          <w:rFonts w:ascii="宋体" w:hAnsi="宋体"/>
          <w:b/>
          <w:sz w:val="30"/>
          <w:highlight w:val="none"/>
        </w:rPr>
      </w:pPr>
      <w:r>
        <w:rPr>
          <w:rFonts w:hint="eastAsia" w:ascii="宋体" w:hAnsi="宋体"/>
          <w:b/>
          <w:sz w:val="30"/>
          <w:highlight w:val="none"/>
        </w:rPr>
        <w:t>《*******合同》补充协议（合同附件）</w:t>
      </w:r>
    </w:p>
    <w:p w14:paraId="35FEC4F2">
      <w:pPr>
        <w:pStyle w:val="22"/>
        <w:spacing w:line="360" w:lineRule="auto"/>
        <w:jc w:val="left"/>
        <w:rPr>
          <w:rFonts w:hAnsi="宋体" w:cs="宋体"/>
          <w:sz w:val="24"/>
          <w:szCs w:val="24"/>
          <w:highlight w:val="none"/>
        </w:rPr>
      </w:pPr>
      <w:r>
        <w:rPr>
          <w:rFonts w:hint="eastAsia" w:hAnsi="宋体"/>
          <w:sz w:val="24"/>
          <w:szCs w:val="24"/>
          <w:highlight w:val="none"/>
        </w:rPr>
        <w:t>    如遇招标文件及合同未约定事项，双方可友好协商签订补充协议。</w:t>
      </w:r>
    </w:p>
    <w:p w14:paraId="3573836B">
      <w:pPr>
        <w:rPr>
          <w:rFonts w:hint="eastAsia"/>
          <w:highlight w:val="none"/>
        </w:rPr>
      </w:pPr>
      <w:r>
        <w:rPr>
          <w:rFonts w:hint="eastAsia"/>
          <w:highlight w:val="none"/>
        </w:rPr>
        <w:br w:type="page" w:clear="all"/>
      </w:r>
    </w:p>
    <w:p w14:paraId="72F72D7D">
      <w:pPr>
        <w:pStyle w:val="5"/>
        <w:jc w:val="center"/>
        <w:rPr>
          <w:highlight w:val="none"/>
        </w:rPr>
      </w:pPr>
      <w:r>
        <w:rPr>
          <w:rFonts w:hint="eastAsia"/>
          <w:highlight w:val="none"/>
        </w:rPr>
        <w:t>第</w:t>
      </w:r>
      <w:bookmarkEnd w:id="172"/>
      <w:r>
        <w:rPr>
          <w:rFonts w:hint="eastAsia"/>
          <w:highlight w:val="none"/>
        </w:rPr>
        <w:t>四章</w:t>
      </w:r>
      <w:r>
        <w:rPr>
          <w:rFonts w:hint="eastAsia" w:eastAsiaTheme="minorEastAsia"/>
          <w:highlight w:val="none"/>
        </w:rPr>
        <w:t xml:space="preserve"> </w:t>
      </w:r>
      <w:r>
        <w:rPr>
          <w:rFonts w:hint="eastAsia"/>
          <w:highlight w:val="none"/>
        </w:rPr>
        <w:t>采购需求</w:t>
      </w:r>
      <w:bookmarkEnd w:id="173"/>
      <w:bookmarkEnd w:id="174"/>
      <w:bookmarkEnd w:id="175"/>
      <w:bookmarkStart w:id="178" w:name="_Toc49090575"/>
      <w:bookmarkStart w:id="179" w:name="_Toc26554093"/>
    </w:p>
    <w:p w14:paraId="03C4D4F2">
      <w:pPr>
        <w:ind w:firstLine="480"/>
        <w:rPr>
          <w:rFonts w:ascii="黑体" w:hAnsi="黑体" w:eastAsia="黑体" w:cs="黑体"/>
          <w:color w:val="000000"/>
          <w:sz w:val="24"/>
          <w:szCs w:val="24"/>
        </w:rPr>
      </w:pPr>
      <w:bookmarkStart w:id="180" w:name="_Toc120614281"/>
      <w:r>
        <w:rPr>
          <w:rFonts w:hint="eastAsia" w:ascii="黑体" w:hAnsi="黑体" w:eastAsia="黑体" w:cs="黑体"/>
          <w:color w:val="000000"/>
          <w:sz w:val="24"/>
          <w:szCs w:val="24"/>
        </w:rPr>
        <w:t>一、项目属性：</w:t>
      </w:r>
      <w:r>
        <w:rPr>
          <w:rFonts w:hint="eastAsia" w:ascii="宋体" w:hAnsi="宋体" w:cs="宋体"/>
          <w:color w:val="000000"/>
          <w:sz w:val="24"/>
          <w:szCs w:val="24"/>
        </w:rPr>
        <w:t>货物类项目。</w:t>
      </w:r>
    </w:p>
    <w:p w14:paraId="11F87BF0">
      <w:pPr>
        <w:ind w:firstLine="480"/>
        <w:rPr>
          <w:rFonts w:ascii="黑体" w:hAnsi="黑体" w:eastAsia="黑体" w:cs="黑体"/>
          <w:color w:val="000000"/>
          <w:sz w:val="24"/>
          <w:szCs w:val="24"/>
        </w:rPr>
      </w:pPr>
      <w:r>
        <w:rPr>
          <w:rFonts w:hint="eastAsia" w:ascii="黑体" w:hAnsi="黑体" w:eastAsia="黑体" w:cs="黑体"/>
          <w:color w:val="000000"/>
          <w:sz w:val="24"/>
          <w:szCs w:val="24"/>
        </w:rPr>
        <w:t>二、项目概况</w:t>
      </w:r>
    </w:p>
    <w:p w14:paraId="6DA05E36">
      <w:pPr>
        <w:numPr>
          <w:ilvl w:val="0"/>
          <w:numId w:val="0"/>
        </w:numPr>
        <w:ind w:firstLine="480" w:firstLineChars="0"/>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一</w:t>
      </w:r>
      <w:r>
        <w:rPr>
          <w:rFonts w:hint="eastAsia" w:ascii="宋体" w:hAnsi="宋体" w:cs="宋体"/>
          <w:bCs/>
          <w:color w:val="000000"/>
          <w:sz w:val="24"/>
          <w:szCs w:val="24"/>
          <w:highlight w:val="none"/>
          <w:lang w:eastAsia="zh-CN"/>
        </w:rPr>
        <w:t>）</w:t>
      </w:r>
      <w:r>
        <w:rPr>
          <w:rFonts w:hint="eastAsia" w:ascii="宋体" w:hAnsi="宋体" w:cs="宋体"/>
          <w:bCs/>
          <w:sz w:val="24"/>
          <w:szCs w:val="24"/>
          <w:highlight w:val="none"/>
        </w:rPr>
        <w:t>项目背景</w:t>
      </w:r>
    </w:p>
    <w:p w14:paraId="1B9D062D">
      <w:pPr>
        <w:numPr>
          <w:ilvl w:val="0"/>
          <w:numId w:val="0"/>
        </w:numPr>
        <w:ind w:firstLine="480" w:firstLineChars="0"/>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为落实《江苏省电子政务外网管理办法（试行）》（苏政办发〔2023〕32号）要求，江苏省数据局专门下发《关于加强全省新“一张网”高质量建设管理有关工作的通知》（苏数发〔2025〕42号，下称《省通知》），《省通知》明确“到2025年10月底，完成全省新一代电子政务外网的建设或迭代升级工作。所有设区市完成与省级跨域编排器、省级统一运管平台的对接，实现全省政务外网的一体化运行管理。加强云网融合，满足各类政务业务的数字化智能化运行需要，实现一网承载”。</w:t>
      </w:r>
    </w:p>
    <w:p w14:paraId="3215FDE7">
      <w:pPr>
        <w:numPr>
          <w:ilvl w:val="0"/>
          <w:numId w:val="0"/>
        </w:numPr>
        <w:ind w:firstLine="480" w:firstLineChars="0"/>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2025年8月底，南京市数据局下发《关于加快推进新一代电子政务外网建设的通知》（下称《市通知》）明确的具体工作，一共涉及到固网平面建设、专网和社区网的合并、安全防护资源池的建设，安全监测系统建设、统一安全管理平台建设和统一运行管理平台建设等六个方面的工作。</w:t>
      </w:r>
    </w:p>
    <w:p w14:paraId="038FEFF0">
      <w:pPr>
        <w:numPr>
          <w:ilvl w:val="0"/>
          <w:numId w:val="0"/>
        </w:numPr>
        <w:ind w:firstLine="480" w:firstLineChars="0"/>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根据《市通知》文件要求，由数治中心主导的具体工作有两项，分别是固网平面和安全防护资源池的建设。</w:t>
      </w:r>
    </w:p>
    <w:p w14:paraId="09FE10F7">
      <w:pPr>
        <w:numPr>
          <w:ilvl w:val="0"/>
          <w:numId w:val="0"/>
        </w:numPr>
        <w:ind w:firstLine="480" w:firstLineChars="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在固网平面建设方面，需要购买和部署两台路由器，作为区级骨干网的核心设备，同时部署SDN控制器实现设备的纳管和调度；在安全防护资源池建设方面，需要购买和部署两台防火墙，旁挂于本次采购的核心路由器。</w:t>
      </w:r>
    </w:p>
    <w:p w14:paraId="08701950">
      <w:pPr>
        <w:ind w:firstLine="480"/>
        <w:rPr>
          <w:rFonts w:ascii="宋体" w:hAnsi="宋体" w:cs="宋体"/>
          <w:bCs/>
          <w:sz w:val="24"/>
          <w:szCs w:val="24"/>
        </w:rPr>
      </w:pPr>
      <w:r>
        <w:rPr>
          <w:rFonts w:hint="eastAsia" w:ascii="黑体" w:hAnsi="黑体" w:eastAsia="黑体" w:cs="黑体"/>
          <w:color w:val="000000"/>
          <w:sz w:val="24"/>
          <w:szCs w:val="24"/>
        </w:rPr>
        <w:t>三、项目清单</w:t>
      </w:r>
    </w:p>
    <w:tbl>
      <w:tblPr>
        <w:tblStyle w:val="38"/>
        <w:tblW w:w="5215" w:type="pct"/>
        <w:tblInd w:w="-224" w:type="dxa"/>
        <w:tblLayout w:type="autofit"/>
        <w:tblCellMar>
          <w:top w:w="0" w:type="dxa"/>
          <w:left w:w="108" w:type="dxa"/>
          <w:bottom w:w="0" w:type="dxa"/>
          <w:right w:w="108" w:type="dxa"/>
        </w:tblCellMar>
      </w:tblPr>
      <w:tblGrid>
        <w:gridCol w:w="735"/>
        <w:gridCol w:w="2472"/>
        <w:gridCol w:w="1109"/>
        <w:gridCol w:w="924"/>
        <w:gridCol w:w="957"/>
        <w:gridCol w:w="1069"/>
        <w:gridCol w:w="1260"/>
        <w:gridCol w:w="1113"/>
      </w:tblGrid>
      <w:tr w14:paraId="4F27A54A">
        <w:tblPrEx>
          <w:tblCellMar>
            <w:top w:w="0" w:type="dxa"/>
            <w:left w:w="108" w:type="dxa"/>
            <w:bottom w:w="0" w:type="dxa"/>
            <w:right w:w="108" w:type="dxa"/>
          </w:tblCellMar>
        </w:tblPrEx>
        <w:trPr>
          <w:trHeight w:val="1006" w:hRule="atLeast"/>
        </w:trPr>
        <w:tc>
          <w:tcPr>
            <w:tcW w:w="3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28598">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序号</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294E8">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产品名称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DF079">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数量</w:t>
            </w: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7AB94">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单位</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839FD">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所属行业</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F40FF">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产品属性</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4D9BC">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产品类型</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83C67">
            <w:pPr>
              <w:keepNext w:val="0"/>
              <w:keepLines w:val="0"/>
              <w:widowControl/>
              <w:suppressLineNumbers w:val="0"/>
              <w:spacing w:before="0" w:beforeAutospacing="0" w:after="0" w:afterAutospacing="0"/>
              <w:ind w:left="0" w:right="0"/>
              <w:jc w:val="center"/>
              <w:rPr>
                <w:rFonts w:ascii="宋体" w:hAnsi="宋体" w:cs="宋体"/>
                <w:b/>
                <w:bCs/>
                <w:sz w:val="20"/>
                <w:szCs w:val="20"/>
              </w:rPr>
            </w:pPr>
            <w:r>
              <w:rPr>
                <w:rFonts w:hint="eastAsia" w:ascii="宋体" w:hAnsi="宋体" w:cs="宋体"/>
                <w:b/>
                <w:bCs/>
                <w:sz w:val="20"/>
                <w:szCs w:val="20"/>
              </w:rPr>
              <w:t>政府强制采购节能产品</w:t>
            </w:r>
          </w:p>
        </w:tc>
      </w:tr>
      <w:tr w14:paraId="6CECA653">
        <w:tblPrEx>
          <w:tblCellMar>
            <w:top w:w="0" w:type="dxa"/>
            <w:left w:w="108" w:type="dxa"/>
            <w:bottom w:w="0" w:type="dxa"/>
            <w:right w:w="108" w:type="dxa"/>
          </w:tblCellMar>
        </w:tblPrEx>
        <w:trPr>
          <w:trHeight w:val="300" w:hRule="atLeast"/>
        </w:trPr>
        <w:tc>
          <w:tcPr>
            <w:tcW w:w="3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9A4F4">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1</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8C00E">
            <w:pPr>
              <w:keepNext w:val="0"/>
              <w:keepLines w:val="0"/>
              <w:widowControl/>
              <w:suppressLineNumbers w:val="0"/>
              <w:spacing w:before="0" w:beforeAutospacing="0" w:after="0" w:afterAutospacing="0"/>
              <w:ind w:left="0" w:right="0"/>
              <w:jc w:val="left"/>
              <w:rPr>
                <w:rFonts w:hint="default" w:ascii="宋体" w:hAnsi="宋体" w:eastAsia="宋体" w:cs="宋体"/>
                <w:sz w:val="20"/>
                <w:szCs w:val="20"/>
                <w:lang w:val="en-US" w:eastAsia="zh-CN"/>
              </w:rPr>
            </w:pPr>
            <w:r>
              <w:rPr>
                <w:rFonts w:hint="eastAsia" w:ascii="宋体" w:hAnsi="宋体" w:cs="宋体"/>
                <w:sz w:val="20"/>
                <w:szCs w:val="20"/>
                <w:lang w:val="en-US" w:eastAsia="zh-CN"/>
              </w:rPr>
              <w:t>核心路由器</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95DDC">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2</w:t>
            </w: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385FD">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台</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182E8">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工业</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1F5C4">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货物</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A6F0D">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highlight w:val="none"/>
                <w:lang w:val="en-US" w:eastAsia="zh-CN"/>
              </w:rPr>
              <w:t>核心产品</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03056">
            <w:pPr>
              <w:keepNext w:val="0"/>
              <w:keepLines w:val="0"/>
              <w:suppressLineNumbers w:val="0"/>
              <w:spacing w:before="0" w:beforeAutospacing="0" w:after="0" w:afterAutospacing="0"/>
              <w:ind w:left="0" w:right="0"/>
              <w:jc w:val="center"/>
              <w:rPr>
                <w:rFonts w:hint="eastAsia" w:ascii="宋体" w:hAnsi="宋体" w:eastAsia="宋体" w:cs="宋体"/>
                <w:sz w:val="20"/>
                <w:szCs w:val="20"/>
                <w:lang w:val="en-US" w:eastAsia="zh-CN"/>
              </w:rPr>
            </w:pPr>
            <w:r>
              <w:rPr>
                <w:rFonts w:hint="eastAsia" w:ascii="宋体" w:hAnsi="宋体" w:cs="宋体"/>
                <w:sz w:val="20"/>
                <w:szCs w:val="20"/>
                <w:lang w:val="en-US" w:eastAsia="zh-CN"/>
              </w:rPr>
              <w:t>否</w:t>
            </w:r>
          </w:p>
        </w:tc>
      </w:tr>
      <w:tr w14:paraId="35F6DAFD">
        <w:tblPrEx>
          <w:tblCellMar>
            <w:top w:w="0" w:type="dxa"/>
            <w:left w:w="108" w:type="dxa"/>
            <w:bottom w:w="0" w:type="dxa"/>
            <w:right w:w="108" w:type="dxa"/>
          </w:tblCellMar>
        </w:tblPrEx>
        <w:trPr>
          <w:trHeight w:val="300" w:hRule="atLeast"/>
        </w:trPr>
        <w:tc>
          <w:tcPr>
            <w:tcW w:w="3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98FE1">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2</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BB112">
            <w:pPr>
              <w:keepNext w:val="0"/>
              <w:keepLines w:val="0"/>
              <w:widowControl/>
              <w:suppressLineNumbers w:val="0"/>
              <w:spacing w:before="0" w:beforeAutospacing="0" w:after="0" w:afterAutospacing="0"/>
              <w:ind w:left="0" w:right="0"/>
              <w:jc w:val="left"/>
              <w:rPr>
                <w:rFonts w:hint="eastAsia" w:ascii="宋体" w:hAnsi="宋体" w:eastAsia="宋体" w:cs="宋体"/>
                <w:sz w:val="20"/>
                <w:szCs w:val="20"/>
                <w:lang w:eastAsia="zh-CN"/>
              </w:rPr>
            </w:pPr>
            <w:r>
              <w:rPr>
                <w:rFonts w:hint="eastAsia" w:ascii="宋体" w:hAnsi="宋体" w:cs="宋体"/>
                <w:sz w:val="20"/>
                <w:szCs w:val="20"/>
                <w:lang w:val="en-US" w:eastAsia="zh-CN"/>
              </w:rPr>
              <w:t>防火墙</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3AFE4">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2</w:t>
            </w: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E572F">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台</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110E0">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工业</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F9C5E">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货物</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6B988">
            <w:pPr>
              <w:keepNext w:val="0"/>
              <w:keepLines w:val="0"/>
              <w:suppressLineNumbers w:val="0"/>
              <w:spacing w:before="0" w:beforeAutospacing="0" w:after="0" w:afterAutospacing="0"/>
              <w:ind w:left="0" w:right="0"/>
              <w:jc w:val="center"/>
              <w:rPr>
                <w:rFonts w:ascii="宋体" w:hAnsi="宋体" w:cs="宋体"/>
                <w:sz w:val="20"/>
                <w:szCs w:val="20"/>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09BE4">
            <w:pPr>
              <w:keepNext w:val="0"/>
              <w:keepLines w:val="0"/>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lang w:val="en-US" w:eastAsia="zh-CN"/>
              </w:rPr>
              <w:t>否</w:t>
            </w:r>
          </w:p>
        </w:tc>
      </w:tr>
      <w:tr w14:paraId="2137C474">
        <w:tblPrEx>
          <w:tblCellMar>
            <w:top w:w="0" w:type="dxa"/>
            <w:left w:w="108" w:type="dxa"/>
            <w:bottom w:w="0" w:type="dxa"/>
            <w:right w:w="108" w:type="dxa"/>
          </w:tblCellMar>
        </w:tblPrEx>
        <w:trPr>
          <w:trHeight w:val="300" w:hRule="atLeast"/>
        </w:trPr>
        <w:tc>
          <w:tcPr>
            <w:tcW w:w="3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07242">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3</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5B19A">
            <w:pPr>
              <w:keepNext w:val="0"/>
              <w:keepLines w:val="0"/>
              <w:widowControl/>
              <w:suppressLineNumbers w:val="0"/>
              <w:spacing w:before="0" w:beforeAutospacing="0" w:after="0" w:afterAutospacing="0"/>
              <w:ind w:left="0" w:right="0"/>
              <w:jc w:val="left"/>
              <w:rPr>
                <w:rFonts w:hint="default" w:ascii="宋体" w:hAnsi="宋体" w:eastAsia="宋体" w:cs="宋体"/>
                <w:sz w:val="20"/>
                <w:szCs w:val="20"/>
                <w:lang w:val="en-US" w:eastAsia="zh-CN"/>
              </w:rPr>
            </w:pPr>
            <w:r>
              <w:rPr>
                <w:rFonts w:hint="eastAsia" w:ascii="宋体" w:hAnsi="宋体" w:cs="宋体"/>
                <w:sz w:val="20"/>
                <w:szCs w:val="20"/>
                <w:lang w:val="en-US" w:eastAsia="zh-CN"/>
              </w:rPr>
              <w:t>SDN控制器</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13B8E">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1</w:t>
            </w: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E751F1">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hint="eastAsia" w:ascii="宋体" w:hAnsi="宋体" w:cs="宋体"/>
                <w:sz w:val="20"/>
                <w:szCs w:val="20"/>
                <w:lang w:val="en-US" w:eastAsia="zh-CN"/>
              </w:rPr>
              <w:t>台</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DAD2B">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工业</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F0C65">
            <w:pPr>
              <w:keepNext w:val="0"/>
              <w:keepLines w:val="0"/>
              <w:widowControl/>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rPr>
              <w:t>货物</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D4F57">
            <w:pPr>
              <w:keepNext w:val="0"/>
              <w:keepLines w:val="0"/>
              <w:widowControl/>
              <w:suppressLineNumbers w:val="0"/>
              <w:spacing w:before="0" w:beforeAutospacing="0" w:after="0" w:afterAutospacing="0"/>
              <w:ind w:left="0" w:right="0"/>
              <w:jc w:val="center"/>
              <w:rPr>
                <w:rFonts w:hint="eastAsia" w:ascii="宋体" w:hAnsi="宋体" w:eastAsia="宋体" w:cs="宋体"/>
                <w:sz w:val="20"/>
                <w:szCs w:val="20"/>
                <w:lang w:val="en-US" w:eastAsia="zh-CN"/>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EDB60">
            <w:pPr>
              <w:keepNext w:val="0"/>
              <w:keepLines w:val="0"/>
              <w:suppressLineNumbers w:val="0"/>
              <w:spacing w:before="0" w:beforeAutospacing="0" w:after="0" w:afterAutospacing="0"/>
              <w:ind w:left="0" w:right="0"/>
              <w:jc w:val="center"/>
              <w:rPr>
                <w:rFonts w:ascii="宋体" w:hAnsi="宋体" w:cs="宋体"/>
                <w:sz w:val="20"/>
                <w:szCs w:val="20"/>
              </w:rPr>
            </w:pPr>
            <w:r>
              <w:rPr>
                <w:rFonts w:hint="eastAsia" w:ascii="宋体" w:hAnsi="宋体" w:cs="宋体"/>
                <w:sz w:val="20"/>
                <w:szCs w:val="20"/>
                <w:lang w:val="en-US" w:eastAsia="zh-CN"/>
              </w:rPr>
              <w:t>否</w:t>
            </w:r>
          </w:p>
        </w:tc>
      </w:tr>
      <w:tr w14:paraId="72703350">
        <w:tblPrEx>
          <w:tblCellMar>
            <w:top w:w="0" w:type="dxa"/>
            <w:left w:w="108" w:type="dxa"/>
            <w:bottom w:w="0" w:type="dxa"/>
            <w:right w:w="108" w:type="dxa"/>
          </w:tblCellMar>
        </w:tblPrEx>
        <w:trPr>
          <w:trHeight w:val="300" w:hRule="atLeast"/>
        </w:trPr>
        <w:tc>
          <w:tcPr>
            <w:tcW w:w="3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EBA04">
            <w:pPr>
              <w:keepNext w:val="0"/>
              <w:keepLines w:val="0"/>
              <w:widowControl/>
              <w:suppressLineNumbers w:val="0"/>
              <w:spacing w:before="0" w:beforeAutospacing="0" w:after="0" w:afterAutospacing="0"/>
              <w:ind w:left="0" w:right="0"/>
              <w:jc w:val="center"/>
              <w:rPr>
                <w:rFonts w:hint="eastAsia" w:ascii="宋体" w:hAnsi="宋体" w:eastAsia="宋体" w:cs="宋体"/>
                <w:sz w:val="20"/>
                <w:szCs w:val="20"/>
                <w:lang w:val="en-US" w:eastAsia="zh-CN"/>
              </w:rPr>
            </w:pPr>
            <w:r>
              <w:rPr>
                <w:rFonts w:hint="eastAsia" w:ascii="宋体" w:hAnsi="宋体" w:cs="宋体"/>
                <w:sz w:val="20"/>
                <w:szCs w:val="20"/>
                <w:lang w:val="en-US" w:eastAsia="zh-CN"/>
              </w:rPr>
              <w:t>4</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77175">
            <w:pPr>
              <w:keepNext w:val="0"/>
              <w:keepLines w:val="0"/>
              <w:widowControl/>
              <w:suppressLineNumbers w:val="0"/>
              <w:spacing w:before="0" w:beforeAutospacing="0" w:after="0" w:afterAutospacing="0"/>
              <w:ind w:left="0" w:right="0"/>
              <w:jc w:val="left"/>
              <w:rPr>
                <w:rFonts w:hint="default" w:ascii="宋体" w:hAnsi="宋体" w:cs="宋体"/>
                <w:sz w:val="20"/>
                <w:szCs w:val="20"/>
                <w:lang w:val="en-US" w:eastAsia="zh-CN"/>
              </w:rPr>
            </w:pPr>
            <w:r>
              <w:rPr>
                <w:rFonts w:hint="eastAsia" w:ascii="宋体" w:hAnsi="宋体" w:cs="宋体"/>
                <w:sz w:val="20"/>
                <w:szCs w:val="20"/>
                <w:lang w:val="en-US" w:eastAsia="zh-CN"/>
              </w:rPr>
              <w:t>集成实施服务</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A636B">
            <w:pPr>
              <w:keepNext w:val="0"/>
              <w:keepLines w:val="0"/>
              <w:widowControl/>
              <w:suppressLineNumbers w:val="0"/>
              <w:spacing w:before="0" w:beforeAutospacing="0" w:after="0" w:afterAutospacing="0"/>
              <w:ind w:left="0" w:right="0"/>
              <w:jc w:val="center"/>
              <w:rPr>
                <w:rFonts w:hint="default" w:ascii="宋体" w:hAnsi="宋体" w:cs="宋体"/>
                <w:sz w:val="20"/>
                <w:szCs w:val="20"/>
                <w:lang w:val="en-US" w:eastAsia="zh-CN"/>
              </w:rPr>
            </w:pPr>
            <w:r>
              <w:rPr>
                <w:rFonts w:hint="eastAsia" w:ascii="宋体" w:hAnsi="宋体" w:cs="宋体"/>
                <w:sz w:val="20"/>
                <w:szCs w:val="20"/>
                <w:lang w:val="en-US" w:eastAsia="zh-CN"/>
              </w:rPr>
              <w:t>1</w:t>
            </w: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5B626">
            <w:pPr>
              <w:keepNext w:val="0"/>
              <w:keepLines w:val="0"/>
              <w:widowControl/>
              <w:suppressLineNumbers w:val="0"/>
              <w:spacing w:before="0" w:beforeAutospacing="0" w:after="0" w:afterAutospacing="0"/>
              <w:ind w:left="0" w:right="0"/>
              <w:jc w:val="center"/>
              <w:rPr>
                <w:rFonts w:hint="default" w:ascii="宋体" w:hAnsi="宋体" w:cs="宋体"/>
                <w:sz w:val="20"/>
                <w:szCs w:val="20"/>
                <w:lang w:val="en-US" w:eastAsia="zh-CN"/>
              </w:rPr>
            </w:pPr>
            <w:r>
              <w:rPr>
                <w:rFonts w:hint="eastAsia" w:ascii="宋体" w:hAnsi="宋体" w:cs="宋体"/>
                <w:sz w:val="20"/>
                <w:szCs w:val="20"/>
                <w:lang w:val="en-US" w:eastAsia="zh-CN"/>
              </w:rPr>
              <w:t>项</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5D039">
            <w:pPr>
              <w:keepNext w:val="0"/>
              <w:keepLines w:val="0"/>
              <w:widowControl/>
              <w:suppressLineNumbers w:val="0"/>
              <w:spacing w:before="0" w:beforeAutospacing="0" w:after="0" w:afterAutospacing="0"/>
              <w:ind w:left="0" w:right="0"/>
              <w:jc w:val="center"/>
              <w:rPr>
                <w:rFonts w:hint="eastAsia" w:ascii="宋体" w:hAnsi="宋体" w:cs="宋体"/>
                <w:sz w:val="20"/>
                <w:szCs w:val="20"/>
              </w:rPr>
            </w:pPr>
            <w:r>
              <w:rPr>
                <w:rFonts w:ascii="helvetica" w:hAnsi="helvetica" w:eastAsia="helvetica" w:cs="helvetica"/>
                <w:i w:val="0"/>
                <w:iCs w:val="0"/>
                <w:caps w:val="0"/>
                <w:color w:val="111133"/>
                <w:spacing w:val="1"/>
                <w:sz w:val="24"/>
                <w:szCs w:val="24"/>
                <w:shd w:val="clear" w:fill="FFFFFF"/>
              </w:rPr>
              <w:t>软件和信息技术服务</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6A8FF">
            <w:pPr>
              <w:keepNext w:val="0"/>
              <w:keepLines w:val="0"/>
              <w:widowControl/>
              <w:suppressLineNumbers w:val="0"/>
              <w:spacing w:before="0" w:beforeAutospacing="0" w:after="0" w:afterAutospacing="0"/>
              <w:ind w:left="0" w:right="0"/>
              <w:jc w:val="center"/>
              <w:rPr>
                <w:rFonts w:hint="eastAsia" w:ascii="宋体" w:hAnsi="宋体" w:eastAsia="宋体" w:cs="宋体"/>
                <w:sz w:val="20"/>
                <w:szCs w:val="20"/>
                <w:lang w:val="en-US" w:eastAsia="zh-CN"/>
              </w:rPr>
            </w:pPr>
            <w:r>
              <w:rPr>
                <w:rFonts w:hint="eastAsia" w:ascii="宋体" w:hAnsi="宋体" w:cs="宋体"/>
                <w:sz w:val="20"/>
                <w:szCs w:val="20"/>
                <w:lang w:val="en-US" w:eastAsia="zh-CN"/>
              </w:rPr>
              <w:t>服务</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F565E">
            <w:pPr>
              <w:keepNext w:val="0"/>
              <w:keepLines w:val="0"/>
              <w:widowControl/>
              <w:suppressLineNumbers w:val="0"/>
              <w:spacing w:before="0" w:beforeAutospacing="0" w:after="0" w:afterAutospacing="0"/>
              <w:ind w:left="0" w:right="0"/>
              <w:jc w:val="center"/>
              <w:rPr>
                <w:rFonts w:hint="eastAsia" w:ascii="宋体" w:hAnsi="宋体" w:eastAsia="宋体" w:cs="宋体"/>
                <w:sz w:val="20"/>
                <w:szCs w:val="20"/>
                <w:lang w:val="en-US" w:eastAsia="zh-CN"/>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EB6FD">
            <w:pPr>
              <w:keepNext w:val="0"/>
              <w:keepLines w:val="0"/>
              <w:suppressLineNumbers w:val="0"/>
              <w:spacing w:before="0" w:beforeAutospacing="0" w:after="0" w:afterAutospacing="0"/>
              <w:ind w:left="0" w:right="0"/>
              <w:jc w:val="center"/>
              <w:rPr>
                <w:rFonts w:hint="eastAsia" w:ascii="宋体" w:hAnsi="宋体" w:cs="宋体"/>
                <w:sz w:val="20"/>
                <w:szCs w:val="20"/>
                <w:lang w:val="en-US" w:eastAsia="zh-CN"/>
              </w:rPr>
            </w:pPr>
          </w:p>
        </w:tc>
      </w:tr>
    </w:tbl>
    <w:p w14:paraId="769540B0">
      <w:pPr>
        <w:ind w:firstLine="480"/>
        <w:rPr>
          <w:rFonts w:ascii="宋体" w:hAnsi="宋体" w:cs="宋体"/>
          <w:b/>
          <w:color w:val="000000"/>
          <w:sz w:val="24"/>
          <w:szCs w:val="24"/>
        </w:rPr>
      </w:pPr>
      <w:r>
        <w:rPr>
          <w:rFonts w:hint="eastAsia" w:ascii="黑体" w:hAnsi="黑体" w:eastAsia="黑体" w:cs="黑体"/>
          <w:color w:val="000000"/>
          <w:sz w:val="24"/>
          <w:szCs w:val="24"/>
        </w:rPr>
        <w:t>四、拟采购标的需要满足的技术、商务要求</w:t>
      </w:r>
    </w:p>
    <w:p w14:paraId="23353AD8">
      <w:pPr>
        <w:rPr>
          <w:rFonts w:hint="eastAsia" w:ascii="宋体" w:hAnsi="宋体" w:cs="宋体"/>
          <w:bCs/>
          <w:color w:val="000000"/>
          <w:sz w:val="24"/>
          <w:szCs w:val="24"/>
        </w:rPr>
      </w:pPr>
      <w:r>
        <w:rPr>
          <w:rFonts w:hint="eastAsia" w:ascii="宋体" w:hAnsi="宋体" w:cs="宋体"/>
          <w:bCs/>
          <w:color w:val="000000"/>
          <w:sz w:val="24"/>
          <w:szCs w:val="24"/>
        </w:rPr>
        <w:t>（一）技术要求</w:t>
      </w:r>
    </w:p>
    <w:p w14:paraId="74B83E73">
      <w:pPr>
        <w:ind w:firstLine="48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核心路由器参数如下：</w:t>
      </w:r>
    </w:p>
    <w:tbl>
      <w:tblPr>
        <w:tblStyle w:val="38"/>
        <w:tblW w:w="48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295"/>
        <w:gridCol w:w="7686"/>
      </w:tblGrid>
      <w:tr w14:paraId="41C92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5EFF">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bookmarkStart w:id="181" w:name="_Hlk174624009"/>
            <w:r>
              <w:rPr>
                <w:rFonts w:hint="eastAsia" w:ascii="Times New Roman" w:hAnsi="Times New Roman" w:eastAsia="仿宋" w:cs="Times New Roman"/>
                <w:color w:val="auto"/>
                <w:kern w:val="2"/>
                <w:sz w:val="21"/>
                <w:szCs w:val="21"/>
                <w:lang w:val="en-US" w:eastAsia="zh-CN" w:bidi="ar"/>
              </w:rPr>
              <w:t>指标项</w:t>
            </w:r>
          </w:p>
        </w:tc>
        <w:tc>
          <w:tcPr>
            <w:tcW w:w="4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E7431">
            <w:pPr>
              <w:keepNext w:val="0"/>
              <w:keepLines w:val="0"/>
              <w:widowControl/>
              <w:suppressLineNumbers w:val="0"/>
              <w:spacing w:before="160" w:beforeAutospacing="0" w:after="0" w:afterAutospacing="0" w:line="240" w:lineRule="auto"/>
              <w:ind w:left="0" w:right="0" w:firstLine="420" w:firstLineChars="200"/>
              <w:jc w:val="center"/>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指标要求</w:t>
            </w:r>
          </w:p>
        </w:tc>
      </w:tr>
      <w:tr w14:paraId="788A9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18F1F7">
            <w:pPr>
              <w:keepNext w:val="0"/>
              <w:keepLines w:val="0"/>
              <w:widowControl w:val="0"/>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配置要求</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070500">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▲交换容量</w:t>
            </w:r>
            <w:r>
              <w:rPr>
                <w:rFonts w:hint="default" w:ascii="Times New Roman" w:hAnsi="Times New Roman" w:eastAsia="仿宋" w:cs="Times New Roman"/>
                <w:color w:val="auto"/>
                <w:kern w:val="2"/>
                <w:sz w:val="21"/>
                <w:szCs w:val="21"/>
                <w:lang w:val="en-US" w:eastAsia="zh-CN" w:bidi="ar"/>
              </w:rPr>
              <w:t>≥200Tbps</w:t>
            </w:r>
            <w:r>
              <w:rPr>
                <w:rFonts w:hint="eastAsia" w:ascii="Times New Roman" w:hAnsi="Times New Roman" w:eastAsia="仿宋" w:cs="Times New Roman"/>
                <w:color w:val="auto"/>
                <w:kern w:val="2"/>
                <w:sz w:val="21"/>
                <w:szCs w:val="21"/>
                <w:lang w:val="en-US" w:eastAsia="zh-CN" w:bidi="ar"/>
              </w:rPr>
              <w:t>，转发性能</w:t>
            </w:r>
            <w:r>
              <w:rPr>
                <w:rFonts w:hint="default" w:ascii="Times New Roman" w:hAnsi="Times New Roman" w:eastAsia="仿宋" w:cs="Times New Roman"/>
                <w:color w:val="auto"/>
                <w:kern w:val="2"/>
                <w:sz w:val="21"/>
                <w:szCs w:val="21"/>
                <w:lang w:val="en-US" w:eastAsia="zh-CN" w:bidi="ar"/>
              </w:rPr>
              <w:t>≥50000Mpps</w:t>
            </w:r>
          </w:p>
        </w:tc>
      </w:tr>
      <w:tr w14:paraId="5314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DE326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61A05">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实配双主控，冗余电源；不低于</w:t>
            </w:r>
            <w:r>
              <w:rPr>
                <w:rFonts w:hint="default" w:ascii="Times New Roman" w:hAnsi="Times New Roman" w:eastAsia="仿宋" w:cs="Times New Roman"/>
                <w:color w:val="auto"/>
                <w:kern w:val="2"/>
                <w:sz w:val="21"/>
                <w:szCs w:val="21"/>
                <w:lang w:val="en-US" w:eastAsia="zh-CN" w:bidi="ar"/>
              </w:rPr>
              <w:t>2</w:t>
            </w:r>
            <w:r>
              <w:rPr>
                <w:rFonts w:hint="eastAsia" w:ascii="Times New Roman" w:hAnsi="Times New Roman" w:eastAsia="仿宋" w:cs="Times New Roman"/>
                <w:color w:val="auto"/>
                <w:kern w:val="2"/>
                <w:sz w:val="21"/>
                <w:szCs w:val="21"/>
                <w:lang w:val="en-US" w:eastAsia="zh-CN" w:bidi="ar"/>
              </w:rPr>
              <w:t>个</w:t>
            </w:r>
            <w:r>
              <w:rPr>
                <w:rFonts w:hint="default" w:ascii="Times New Roman" w:hAnsi="Times New Roman" w:eastAsia="仿宋" w:cs="Times New Roman"/>
                <w:color w:val="auto"/>
                <w:kern w:val="2"/>
                <w:sz w:val="21"/>
                <w:szCs w:val="21"/>
                <w:lang w:val="en-US" w:eastAsia="zh-CN" w:bidi="ar"/>
              </w:rPr>
              <w:t>40</w:t>
            </w:r>
            <w:r>
              <w:rPr>
                <w:rFonts w:hint="eastAsia" w:ascii="Times New Roman" w:hAnsi="Times New Roman" w:eastAsia="仿宋" w:cs="Times New Roman"/>
                <w:color w:val="auto"/>
                <w:kern w:val="2"/>
                <w:sz w:val="21"/>
                <w:szCs w:val="21"/>
                <w:lang w:val="en-US" w:eastAsia="zh-CN" w:bidi="ar"/>
              </w:rPr>
              <w:t>光接口，含</w:t>
            </w:r>
            <w:r>
              <w:rPr>
                <w:rFonts w:hint="default" w:ascii="Times New Roman" w:hAnsi="Times New Roman" w:eastAsia="仿宋" w:cs="Times New Roman"/>
                <w:color w:val="auto"/>
                <w:kern w:val="2"/>
                <w:sz w:val="21"/>
                <w:szCs w:val="21"/>
                <w:lang w:val="en-US" w:eastAsia="zh-CN" w:bidi="ar"/>
              </w:rPr>
              <w:t>2</w:t>
            </w:r>
            <w:r>
              <w:rPr>
                <w:rFonts w:hint="eastAsia" w:ascii="Times New Roman" w:hAnsi="Times New Roman" w:eastAsia="仿宋" w:cs="Times New Roman"/>
                <w:color w:val="auto"/>
                <w:kern w:val="2"/>
                <w:sz w:val="21"/>
                <w:szCs w:val="21"/>
                <w:lang w:val="en-US" w:eastAsia="zh-CN" w:bidi="ar"/>
              </w:rPr>
              <w:t>个</w:t>
            </w:r>
            <w:r>
              <w:rPr>
                <w:rFonts w:hint="default" w:ascii="Times New Roman" w:hAnsi="Times New Roman" w:eastAsia="仿宋" w:cs="Times New Roman"/>
                <w:color w:val="auto"/>
                <w:kern w:val="2"/>
                <w:sz w:val="21"/>
                <w:szCs w:val="21"/>
                <w:lang w:val="en-US" w:eastAsia="zh-CN" w:bidi="ar"/>
              </w:rPr>
              <w:t>40GE10KM</w:t>
            </w:r>
            <w:r>
              <w:rPr>
                <w:rFonts w:hint="eastAsia" w:ascii="Times New Roman" w:hAnsi="Times New Roman" w:eastAsia="仿宋" w:cs="Times New Roman"/>
                <w:color w:val="auto"/>
                <w:kern w:val="2"/>
                <w:sz w:val="21"/>
                <w:szCs w:val="21"/>
                <w:lang w:val="en-US" w:eastAsia="zh-CN" w:bidi="ar"/>
              </w:rPr>
              <w:t>模块；不低于</w:t>
            </w:r>
            <w:r>
              <w:rPr>
                <w:rFonts w:hint="default" w:ascii="Times New Roman" w:hAnsi="Times New Roman" w:eastAsia="仿宋" w:cs="Times New Roman"/>
                <w:color w:val="auto"/>
                <w:kern w:val="2"/>
                <w:sz w:val="21"/>
                <w:szCs w:val="21"/>
                <w:lang w:val="en-US" w:eastAsia="zh-CN" w:bidi="ar"/>
              </w:rPr>
              <w:t>20</w:t>
            </w:r>
            <w:r>
              <w:rPr>
                <w:rFonts w:hint="eastAsia" w:ascii="Times New Roman" w:hAnsi="Times New Roman" w:eastAsia="仿宋" w:cs="Times New Roman"/>
                <w:color w:val="auto"/>
                <w:kern w:val="2"/>
                <w:sz w:val="21"/>
                <w:szCs w:val="21"/>
                <w:lang w:val="en-US" w:eastAsia="zh-CN" w:bidi="ar"/>
              </w:rPr>
              <w:t>个</w:t>
            </w:r>
            <w:r>
              <w:rPr>
                <w:rFonts w:hint="default" w:ascii="Times New Roman" w:hAnsi="Times New Roman" w:eastAsia="仿宋" w:cs="Times New Roman"/>
                <w:color w:val="auto"/>
                <w:kern w:val="2"/>
                <w:sz w:val="21"/>
                <w:szCs w:val="21"/>
                <w:lang w:val="en-US" w:eastAsia="zh-CN" w:bidi="ar"/>
              </w:rPr>
              <w:t>10GE</w:t>
            </w:r>
            <w:r>
              <w:rPr>
                <w:rFonts w:hint="eastAsia" w:ascii="Times New Roman" w:hAnsi="Times New Roman" w:eastAsia="仿宋" w:cs="Times New Roman"/>
                <w:color w:val="auto"/>
                <w:kern w:val="2"/>
                <w:sz w:val="21"/>
                <w:szCs w:val="21"/>
                <w:lang w:val="en-US" w:eastAsia="zh-CN" w:bidi="ar"/>
              </w:rPr>
              <w:t>光接口，并提供配套光模块。</w:t>
            </w:r>
            <w:r>
              <w:rPr>
                <w:rFonts w:hint="default" w:ascii="Times New Roman" w:hAnsi="Times New Roman" w:eastAsia="仿宋" w:cs="Times New Roman"/>
                <w:color w:val="auto"/>
                <w:kern w:val="2"/>
                <w:sz w:val="21"/>
                <w:szCs w:val="21"/>
                <w:lang w:val="en-US" w:eastAsia="zh-CN" w:bidi="ar"/>
              </w:rPr>
              <w:t xml:space="preserve"> </w:t>
            </w:r>
          </w:p>
        </w:tc>
      </w:tr>
      <w:tr w14:paraId="01D02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4E29E">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功能要求</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2849FE">
            <w:pPr>
              <w:keepNext w:val="0"/>
              <w:keepLines w:val="0"/>
              <w:widowControl w:val="0"/>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▲实配</w:t>
            </w:r>
            <w:r>
              <w:rPr>
                <w:rFonts w:hint="default" w:ascii="Times New Roman" w:hAnsi="Times New Roman" w:eastAsia="仿宋" w:cs="Times New Roman"/>
                <w:color w:val="auto"/>
                <w:kern w:val="2"/>
                <w:sz w:val="21"/>
                <w:szCs w:val="21"/>
                <w:lang w:val="en-US" w:eastAsia="zh-CN" w:bidi="ar"/>
              </w:rPr>
              <w:t>SRv6</w:t>
            </w:r>
            <w:r>
              <w:rPr>
                <w:rFonts w:hint="eastAsia" w:ascii="Times New Roman" w:hAnsi="Times New Roman" w:eastAsia="仿宋" w:cs="Times New Roman"/>
                <w:color w:val="auto"/>
                <w:kern w:val="2"/>
                <w:sz w:val="21"/>
                <w:szCs w:val="21"/>
                <w:lang w:val="en-US" w:eastAsia="zh-CN" w:bidi="ar"/>
              </w:rPr>
              <w:t>授权，≥</w:t>
            </w:r>
            <w:r>
              <w:rPr>
                <w:rFonts w:hint="default" w:ascii="Times New Roman" w:hAnsi="Times New Roman" w:eastAsia="仿宋" w:cs="Times New Roman"/>
                <w:color w:val="auto"/>
                <w:kern w:val="2"/>
                <w:sz w:val="21"/>
                <w:szCs w:val="21"/>
                <w:lang w:val="en-US" w:eastAsia="zh-CN" w:bidi="ar"/>
              </w:rPr>
              <w:t>64</w:t>
            </w:r>
            <w:r>
              <w:rPr>
                <w:rFonts w:hint="eastAsia" w:ascii="Times New Roman" w:hAnsi="Times New Roman" w:eastAsia="仿宋" w:cs="Times New Roman"/>
                <w:color w:val="auto"/>
                <w:kern w:val="2"/>
                <w:sz w:val="21"/>
                <w:szCs w:val="21"/>
                <w:lang w:val="en-US" w:eastAsia="zh-CN" w:bidi="ar"/>
              </w:rPr>
              <w:t>专网切片功能授权，</w:t>
            </w:r>
            <w:r>
              <w:rPr>
                <w:rFonts w:hint="default" w:ascii="Times New Roman" w:hAnsi="Times New Roman" w:eastAsia="仿宋" w:cs="Times New Roman"/>
                <w:color w:val="auto"/>
                <w:kern w:val="2"/>
                <w:sz w:val="21"/>
                <w:szCs w:val="21"/>
                <w:lang w:val="en-US" w:eastAsia="zh-CN" w:bidi="ar"/>
              </w:rPr>
              <w:t>SR, RSVP-TE, MPLS-TE, VxLAN, HQoS, L3VPN, EVPN, RFC2544, Telemetry</w:t>
            </w:r>
            <w:r>
              <w:rPr>
                <w:rFonts w:hint="eastAsia" w:ascii="Times New Roman" w:hAnsi="Times New Roman" w:eastAsia="仿宋" w:cs="Times New Roman"/>
                <w:color w:val="auto"/>
                <w:kern w:val="2"/>
                <w:sz w:val="21"/>
                <w:szCs w:val="21"/>
                <w:lang w:val="en-US" w:eastAsia="zh-CN" w:bidi="ar"/>
              </w:rPr>
              <w:t>授权。</w:t>
            </w:r>
          </w:p>
        </w:tc>
      </w:tr>
      <w:tr w14:paraId="77143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C0DE97">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硬件架构</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0DEA63">
            <w:pPr>
              <w:keepNext w:val="0"/>
              <w:keepLines w:val="0"/>
              <w:widowControl w:val="0"/>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设备应为框式结构，支持不少于</w:t>
            </w:r>
            <w:r>
              <w:rPr>
                <w:rFonts w:hint="default" w:ascii="Times New Roman" w:hAnsi="Times New Roman" w:eastAsia="仿宋" w:cs="Times New Roman"/>
                <w:color w:val="auto"/>
                <w:kern w:val="2"/>
                <w:sz w:val="21"/>
                <w:szCs w:val="21"/>
                <w:lang w:val="en-US" w:eastAsia="zh-CN" w:bidi="ar"/>
              </w:rPr>
              <w:t xml:space="preserve"> 4 </w:t>
            </w:r>
            <w:r>
              <w:rPr>
                <w:rFonts w:hint="eastAsia" w:ascii="Times New Roman" w:hAnsi="Times New Roman" w:eastAsia="仿宋" w:cs="Times New Roman"/>
                <w:color w:val="auto"/>
                <w:kern w:val="2"/>
                <w:sz w:val="21"/>
                <w:szCs w:val="21"/>
                <w:lang w:val="en-US" w:eastAsia="zh-CN" w:bidi="ar"/>
              </w:rPr>
              <w:t>个全高业务线卡插槽；每个业务线卡应支持模块化端口扩展能力，整机可部署的端口扩展模块总数不少于</w:t>
            </w:r>
            <w:r>
              <w:rPr>
                <w:rFonts w:hint="default" w:ascii="Times New Roman" w:hAnsi="Times New Roman" w:eastAsia="仿宋" w:cs="Times New Roman"/>
                <w:color w:val="auto"/>
                <w:kern w:val="2"/>
                <w:sz w:val="21"/>
                <w:szCs w:val="21"/>
                <w:lang w:val="en-US" w:eastAsia="zh-CN" w:bidi="ar"/>
              </w:rPr>
              <w:t xml:space="preserve"> </w:t>
            </w:r>
            <w:r>
              <w:rPr>
                <w:rFonts w:hint="eastAsia" w:eastAsia="仿宋" w:cs="Times New Roman"/>
                <w:color w:val="auto"/>
                <w:kern w:val="2"/>
                <w:sz w:val="21"/>
                <w:szCs w:val="21"/>
                <w:lang w:val="en-US" w:eastAsia="zh-CN" w:bidi="ar"/>
              </w:rPr>
              <w:t>8</w:t>
            </w:r>
            <w:r>
              <w:rPr>
                <w:rFonts w:hint="default" w:ascii="Times New Roman" w:hAnsi="Times New Roman" w:eastAsia="仿宋" w:cs="Times New Roman"/>
                <w:color w:val="auto"/>
                <w:kern w:val="2"/>
                <w:sz w:val="21"/>
                <w:szCs w:val="21"/>
                <w:lang w:val="en-US" w:eastAsia="zh-CN" w:bidi="ar"/>
              </w:rPr>
              <w:t xml:space="preserve"> </w:t>
            </w:r>
            <w:r>
              <w:rPr>
                <w:rFonts w:hint="eastAsia" w:ascii="Times New Roman" w:hAnsi="Times New Roman" w:eastAsia="仿宋" w:cs="Times New Roman"/>
                <w:color w:val="auto"/>
                <w:kern w:val="2"/>
                <w:sz w:val="21"/>
                <w:szCs w:val="21"/>
                <w:lang w:val="en-US" w:eastAsia="zh-CN" w:bidi="ar"/>
              </w:rPr>
              <w:t>个。所采用的扩展模块应支持灵活配置不同速率和类型的物理接口（如</w:t>
            </w:r>
            <w:r>
              <w:rPr>
                <w:rFonts w:hint="default" w:ascii="Times New Roman" w:hAnsi="Times New Roman" w:eastAsia="仿宋" w:cs="Times New Roman"/>
                <w:color w:val="auto"/>
                <w:kern w:val="2"/>
                <w:sz w:val="21"/>
                <w:szCs w:val="21"/>
                <w:lang w:val="en-US" w:eastAsia="zh-CN" w:bidi="ar"/>
              </w:rPr>
              <w:t xml:space="preserve"> GE/10GE/25GE/100GE </w:t>
            </w:r>
            <w:r>
              <w:rPr>
                <w:rFonts w:hint="eastAsia" w:ascii="Times New Roman" w:hAnsi="Times New Roman" w:eastAsia="仿宋" w:cs="Times New Roman"/>
                <w:color w:val="auto"/>
                <w:kern w:val="2"/>
                <w:sz w:val="21"/>
                <w:szCs w:val="21"/>
                <w:lang w:val="en-US" w:eastAsia="zh-CN" w:bidi="ar"/>
              </w:rPr>
              <w:t>等）</w:t>
            </w:r>
          </w:p>
        </w:tc>
      </w:tr>
      <w:tr w14:paraId="43F89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9284CF">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自主可控</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1D28C5">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kern w:val="2"/>
                <w:sz w:val="28"/>
                <w:szCs w:val="28"/>
                <w:lang w:val="en-US" w:eastAsia="zh-CN" w:bidi="ar"/>
              </w:rPr>
              <w:t>★</w:t>
            </w:r>
            <w:r>
              <w:rPr>
                <w:rFonts w:hint="eastAsia" w:ascii="Times New Roman" w:hAnsi="Times New Roman" w:eastAsia="仿宋" w:cs="Times New Roman"/>
                <w:color w:val="auto"/>
                <w:kern w:val="2"/>
                <w:sz w:val="21"/>
                <w:szCs w:val="21"/>
                <w:lang w:val="en-US" w:eastAsia="zh-CN" w:bidi="ar"/>
              </w:rPr>
              <w:t>设备满足国产化自主可控要求，设备关键核心芯片至少须包含</w:t>
            </w:r>
            <w:r>
              <w:rPr>
                <w:rFonts w:hint="default" w:ascii="Times New Roman" w:hAnsi="Times New Roman" w:eastAsia="仿宋" w:cs="Times New Roman"/>
                <w:color w:val="auto"/>
                <w:kern w:val="2"/>
                <w:sz w:val="21"/>
                <w:szCs w:val="21"/>
                <w:lang w:val="en-US" w:eastAsia="zh-CN" w:bidi="ar"/>
              </w:rPr>
              <w:t>CPU</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NP</w:t>
            </w:r>
            <w:r>
              <w:rPr>
                <w:rFonts w:hint="eastAsia" w:ascii="Times New Roman" w:hAnsi="Times New Roman" w:eastAsia="仿宋" w:cs="Times New Roman"/>
                <w:color w:val="auto"/>
                <w:kern w:val="2"/>
                <w:sz w:val="21"/>
                <w:szCs w:val="21"/>
                <w:lang w:val="en-US" w:eastAsia="zh-CN" w:bidi="ar"/>
              </w:rPr>
              <w:t>芯片，设备所有关键核心芯片须采用国产化芯片，</w:t>
            </w:r>
            <w:r>
              <w:rPr>
                <w:rFonts w:hint="eastAsia" w:ascii="Times New Roman" w:hAnsi="Times New Roman" w:eastAsia="仿宋" w:cs="Times New Roman"/>
                <w:b/>
                <w:bCs/>
                <w:color w:val="auto"/>
                <w:kern w:val="2"/>
                <w:sz w:val="21"/>
                <w:szCs w:val="21"/>
                <w:lang w:val="en-US" w:eastAsia="zh-CN" w:bidi="ar"/>
              </w:rPr>
              <w:t>提供具有</w:t>
            </w:r>
            <w:r>
              <w:rPr>
                <w:rFonts w:hint="default" w:ascii="Times New Roman" w:hAnsi="Times New Roman" w:eastAsia="仿宋" w:cs="Times New Roman"/>
                <w:b/>
                <w:bCs/>
                <w:color w:val="auto"/>
                <w:kern w:val="2"/>
                <w:sz w:val="21"/>
                <w:szCs w:val="21"/>
                <w:lang w:val="en-US" w:eastAsia="zh-CN" w:bidi="ar"/>
              </w:rPr>
              <w:t>CNAS</w:t>
            </w:r>
            <w:r>
              <w:rPr>
                <w:rFonts w:hint="eastAsia" w:ascii="Times New Roman" w:hAnsi="Times New Roman" w:eastAsia="仿宋" w:cs="Times New Roman"/>
                <w:b/>
                <w:bCs/>
                <w:color w:val="auto"/>
                <w:kern w:val="2"/>
                <w:sz w:val="21"/>
                <w:szCs w:val="21"/>
                <w:lang w:val="en-US" w:eastAsia="zh-CN" w:bidi="ar"/>
              </w:rPr>
              <w:t>认证的第三方检测机构出具的检测报告；</w:t>
            </w:r>
          </w:p>
        </w:tc>
      </w:tr>
      <w:tr w14:paraId="235C2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EAB56">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bookmarkStart w:id="182" w:name="_Hlk176182741"/>
            <w:r>
              <w:rPr>
                <w:rFonts w:hint="eastAsia" w:ascii="Times New Roman" w:hAnsi="Times New Roman" w:eastAsia="仿宋" w:cs="Times New Roman"/>
                <w:color w:val="auto"/>
                <w:kern w:val="2"/>
                <w:sz w:val="21"/>
                <w:szCs w:val="21"/>
                <w:lang w:val="en-US" w:eastAsia="zh-CN" w:bidi="ar"/>
              </w:rPr>
              <w:t>路由功能</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35B82C">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支持策略路由、路由策略和路由负荷分担，支持静态路由、</w:t>
            </w:r>
            <w:r>
              <w:rPr>
                <w:rFonts w:hint="default" w:ascii="Times New Roman" w:hAnsi="Times New Roman" w:eastAsia="仿宋" w:cs="Times New Roman"/>
                <w:color w:val="auto"/>
                <w:kern w:val="2"/>
                <w:sz w:val="21"/>
                <w:szCs w:val="21"/>
                <w:lang w:val="en-US" w:eastAsia="zh-CN" w:bidi="ar"/>
              </w:rPr>
              <w:t>RIPv1/v2</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RIPng</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OSPFv2</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OSPFv3</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IS-ISv4</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IS-ISv6</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BGP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BGP4+</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SRV6</w:t>
            </w:r>
            <w:r>
              <w:rPr>
                <w:rFonts w:hint="eastAsia" w:ascii="Times New Roman" w:hAnsi="Times New Roman" w:eastAsia="仿宋" w:cs="Times New Roman"/>
                <w:color w:val="auto"/>
                <w:kern w:val="2"/>
                <w:sz w:val="21"/>
                <w:szCs w:val="21"/>
                <w:lang w:val="en-US" w:eastAsia="zh-CN" w:bidi="ar"/>
              </w:rPr>
              <w:t>路由协议</w:t>
            </w:r>
          </w:p>
        </w:tc>
      </w:tr>
      <w:tr w14:paraId="60980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5A5FC">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二层特性</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F618DC">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w:t>
            </w:r>
            <w:r>
              <w:rPr>
                <w:rFonts w:hint="default" w:ascii="Times New Roman" w:hAnsi="Times New Roman" w:eastAsia="仿宋" w:cs="Times New Roman"/>
                <w:color w:val="auto"/>
                <w:kern w:val="2"/>
                <w:sz w:val="21"/>
                <w:szCs w:val="21"/>
                <w:lang w:val="en-US" w:eastAsia="zh-CN" w:bidi="ar"/>
              </w:rPr>
              <w:t>IEEE 802.1q</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IEEE 802.1p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IEEE 802.3ad</w:t>
            </w:r>
            <w:r>
              <w:rPr>
                <w:rFonts w:hint="eastAsia" w:ascii="Times New Roman" w:hAnsi="Times New Roman" w:eastAsia="仿宋" w:cs="Times New Roman"/>
                <w:color w:val="auto"/>
                <w:kern w:val="2"/>
                <w:sz w:val="21"/>
                <w:szCs w:val="21"/>
                <w:lang w:val="en-US" w:eastAsia="zh-CN" w:bidi="ar"/>
              </w:rPr>
              <w:t>和</w:t>
            </w:r>
            <w:r>
              <w:rPr>
                <w:rFonts w:hint="default" w:ascii="Times New Roman" w:hAnsi="Times New Roman" w:eastAsia="仿宋" w:cs="Times New Roman"/>
                <w:color w:val="auto"/>
                <w:kern w:val="2"/>
                <w:sz w:val="21"/>
                <w:szCs w:val="21"/>
                <w:lang w:val="en-US" w:eastAsia="zh-CN" w:bidi="ar"/>
              </w:rPr>
              <w:t>IEEE 802.1ab</w:t>
            </w:r>
            <w:r>
              <w:rPr>
                <w:rFonts w:hint="eastAsia" w:ascii="Times New Roman" w:hAnsi="Times New Roman" w:eastAsia="仿宋" w:cs="Times New Roman"/>
                <w:color w:val="auto"/>
                <w:kern w:val="2"/>
                <w:sz w:val="21"/>
                <w:szCs w:val="21"/>
                <w:lang w:val="en-US" w:eastAsia="zh-CN" w:bidi="ar"/>
              </w:rPr>
              <w:t>等协议；支持</w:t>
            </w:r>
            <w:r>
              <w:rPr>
                <w:rFonts w:hint="default" w:ascii="Times New Roman" w:hAnsi="Times New Roman" w:eastAsia="仿宋" w:cs="Times New Roman"/>
                <w:color w:val="auto"/>
                <w:kern w:val="2"/>
                <w:sz w:val="21"/>
                <w:szCs w:val="21"/>
                <w:lang w:val="en-US" w:eastAsia="zh-CN" w:bidi="ar"/>
              </w:rPr>
              <w:t>STP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RSTP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MSTP</w:t>
            </w:r>
            <w:r>
              <w:rPr>
                <w:rFonts w:hint="eastAsia" w:ascii="Times New Roman" w:hAnsi="Times New Roman" w:eastAsia="仿宋" w:cs="Times New Roman"/>
                <w:color w:val="auto"/>
                <w:kern w:val="2"/>
                <w:sz w:val="21"/>
                <w:szCs w:val="21"/>
                <w:lang w:val="en-US" w:eastAsia="zh-CN" w:bidi="ar"/>
              </w:rPr>
              <w:t>和</w:t>
            </w:r>
            <w:r>
              <w:rPr>
                <w:rFonts w:hint="default" w:ascii="Times New Roman" w:hAnsi="Times New Roman" w:eastAsia="仿宋" w:cs="Times New Roman"/>
                <w:color w:val="auto"/>
                <w:kern w:val="2"/>
                <w:sz w:val="21"/>
                <w:szCs w:val="21"/>
                <w:lang w:val="en-US" w:eastAsia="zh-CN" w:bidi="ar"/>
              </w:rPr>
              <w:t>VLAN</w:t>
            </w:r>
            <w:r>
              <w:rPr>
                <w:rFonts w:hint="eastAsia" w:ascii="Times New Roman" w:hAnsi="Times New Roman" w:eastAsia="仿宋" w:cs="Times New Roman"/>
                <w:color w:val="auto"/>
                <w:kern w:val="2"/>
                <w:sz w:val="21"/>
                <w:szCs w:val="21"/>
                <w:lang w:val="en-US" w:eastAsia="zh-CN" w:bidi="ar"/>
              </w:rPr>
              <w:t>；支持</w:t>
            </w:r>
            <w:r>
              <w:rPr>
                <w:rFonts w:hint="default" w:ascii="Times New Roman" w:hAnsi="Times New Roman" w:eastAsia="仿宋" w:cs="Times New Roman"/>
                <w:color w:val="auto"/>
                <w:kern w:val="2"/>
                <w:sz w:val="21"/>
                <w:szCs w:val="21"/>
                <w:lang w:val="en-US" w:eastAsia="zh-CN" w:bidi="ar"/>
              </w:rPr>
              <w:t>MPLS/BGP VPN</w:t>
            </w:r>
            <w:r>
              <w:rPr>
                <w:rFonts w:hint="eastAsia" w:ascii="Times New Roman" w:hAnsi="Times New Roman" w:eastAsia="仿宋" w:cs="Times New Roman"/>
                <w:color w:val="auto"/>
                <w:kern w:val="2"/>
                <w:sz w:val="21"/>
                <w:szCs w:val="21"/>
                <w:lang w:val="en-US" w:eastAsia="zh-CN" w:bidi="ar"/>
              </w:rPr>
              <w:t>。</w:t>
            </w:r>
          </w:p>
        </w:tc>
      </w:tr>
      <w:tr w14:paraId="4B9F6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124630">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技术要求</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E3B49">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提供</w:t>
            </w:r>
            <w:r>
              <w:rPr>
                <w:rFonts w:hint="default" w:ascii="Times New Roman" w:hAnsi="Times New Roman" w:eastAsia="仿宋" w:cs="Times New Roman"/>
                <w:color w:val="auto"/>
                <w:kern w:val="2"/>
                <w:sz w:val="21"/>
                <w:szCs w:val="21"/>
                <w:lang w:val="en-US" w:eastAsia="zh-CN" w:bidi="ar"/>
              </w:rPr>
              <w:t>SDN</w:t>
            </w:r>
            <w:r>
              <w:rPr>
                <w:rFonts w:hint="eastAsia" w:ascii="Times New Roman" w:hAnsi="Times New Roman" w:eastAsia="仿宋" w:cs="Times New Roman"/>
                <w:color w:val="auto"/>
                <w:kern w:val="2"/>
                <w:sz w:val="21"/>
                <w:szCs w:val="21"/>
                <w:lang w:val="en-US" w:eastAsia="zh-CN" w:bidi="ar"/>
              </w:rPr>
              <w:t>控制器接入授权</w:t>
            </w:r>
            <w:bookmarkEnd w:id="182"/>
          </w:p>
        </w:tc>
      </w:tr>
      <w:tr w14:paraId="3F6C7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7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7EBED7">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bookmarkStart w:id="183" w:name="_Hlk174609933"/>
            <w:r>
              <w:rPr>
                <w:rFonts w:hint="eastAsia" w:ascii="Times New Roman" w:hAnsi="Times New Roman" w:eastAsia="仿宋" w:cs="Times New Roman"/>
                <w:color w:val="auto"/>
                <w:kern w:val="2"/>
                <w:sz w:val="21"/>
                <w:szCs w:val="21"/>
                <w:lang w:val="en-US" w:eastAsia="zh-CN" w:bidi="ar"/>
              </w:rPr>
              <w:t>服务要求</w:t>
            </w:r>
          </w:p>
        </w:tc>
        <w:tc>
          <w:tcPr>
            <w:tcW w:w="42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044090">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提供五年原厂硬件质保服务和软件升级服务</w:t>
            </w:r>
            <w:bookmarkEnd w:id="183"/>
          </w:p>
        </w:tc>
      </w:tr>
      <w:bookmarkEnd w:id="181"/>
    </w:tbl>
    <w:p w14:paraId="1967715E">
      <w:pPr>
        <w:rPr>
          <w:rFonts w:hint="eastAsia" w:ascii="宋体" w:hAnsi="宋体" w:cs="宋体"/>
          <w:bCs/>
          <w:color w:val="000000"/>
          <w:sz w:val="24"/>
          <w:szCs w:val="24"/>
        </w:rPr>
      </w:pPr>
    </w:p>
    <w:p w14:paraId="0066D1DC">
      <w:pPr>
        <w:ind w:firstLine="48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安全资源池防火墙参数配置如下</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556"/>
        <w:gridCol w:w="7686"/>
      </w:tblGrid>
      <w:tr w14:paraId="3EDA2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16CE7">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指标项</w:t>
            </w:r>
          </w:p>
        </w:tc>
        <w:tc>
          <w:tcPr>
            <w:tcW w:w="4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B4E69">
            <w:pPr>
              <w:keepNext w:val="0"/>
              <w:keepLines w:val="0"/>
              <w:widowControl/>
              <w:suppressLineNumbers w:val="0"/>
              <w:spacing w:before="160" w:beforeAutospacing="0" w:after="0" w:afterAutospacing="0" w:line="240" w:lineRule="auto"/>
              <w:ind w:left="0" w:right="0" w:firstLine="420" w:firstLineChars="200"/>
              <w:jc w:val="center"/>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指标要求</w:t>
            </w:r>
          </w:p>
        </w:tc>
      </w:tr>
      <w:tr w14:paraId="6C9FD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84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B02261">
            <w:pPr>
              <w:keepNext w:val="0"/>
              <w:keepLines w:val="0"/>
              <w:widowControl w:val="0"/>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配置要求</w:t>
            </w: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DD099">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▲防火墙吞吐量≥</w:t>
            </w:r>
            <w:r>
              <w:rPr>
                <w:rFonts w:hint="default" w:ascii="Times New Roman" w:hAnsi="Times New Roman" w:eastAsia="仿宋" w:cs="Times New Roman"/>
                <w:color w:val="auto"/>
                <w:kern w:val="2"/>
                <w:sz w:val="21"/>
                <w:szCs w:val="21"/>
                <w:lang w:val="en-US" w:eastAsia="zh-CN" w:bidi="ar"/>
              </w:rPr>
              <w:t>25Gbps</w:t>
            </w:r>
            <w:r>
              <w:rPr>
                <w:rFonts w:hint="eastAsia" w:ascii="Times New Roman" w:hAnsi="Times New Roman" w:eastAsia="仿宋" w:cs="Times New Roman"/>
                <w:color w:val="auto"/>
                <w:kern w:val="2"/>
                <w:sz w:val="21"/>
                <w:szCs w:val="21"/>
                <w:lang w:val="en-US" w:eastAsia="zh-CN" w:bidi="ar"/>
              </w:rPr>
              <w:t>，最大并发连接数≥</w:t>
            </w:r>
            <w:r>
              <w:rPr>
                <w:rFonts w:hint="default" w:ascii="Times New Roman" w:hAnsi="Times New Roman" w:eastAsia="仿宋" w:cs="Times New Roman"/>
                <w:color w:val="auto"/>
                <w:kern w:val="2"/>
                <w:sz w:val="21"/>
                <w:szCs w:val="21"/>
                <w:lang w:val="en-US" w:eastAsia="zh-CN" w:bidi="ar"/>
              </w:rPr>
              <w:t>1000</w:t>
            </w:r>
            <w:r>
              <w:rPr>
                <w:rFonts w:hint="eastAsia" w:ascii="Times New Roman" w:hAnsi="Times New Roman" w:eastAsia="仿宋" w:cs="Times New Roman"/>
                <w:color w:val="auto"/>
                <w:kern w:val="2"/>
                <w:sz w:val="21"/>
                <w:szCs w:val="21"/>
                <w:lang w:val="en-US" w:eastAsia="zh-CN" w:bidi="ar"/>
              </w:rPr>
              <w:t>万，每秒新建连接数≥</w:t>
            </w:r>
            <w:r>
              <w:rPr>
                <w:rFonts w:hint="default" w:ascii="Times New Roman" w:hAnsi="Times New Roman" w:eastAsia="仿宋" w:cs="Times New Roman"/>
                <w:color w:val="auto"/>
                <w:kern w:val="2"/>
                <w:sz w:val="21"/>
                <w:szCs w:val="21"/>
                <w:lang w:val="en-US" w:eastAsia="zh-CN" w:bidi="ar"/>
              </w:rPr>
              <w:t>25</w:t>
            </w:r>
            <w:r>
              <w:rPr>
                <w:rFonts w:hint="eastAsia" w:ascii="Times New Roman" w:hAnsi="Times New Roman" w:eastAsia="仿宋" w:cs="Times New Roman"/>
                <w:color w:val="auto"/>
                <w:kern w:val="2"/>
                <w:sz w:val="21"/>
                <w:szCs w:val="21"/>
                <w:lang w:val="en-US" w:eastAsia="zh-CN" w:bidi="ar"/>
              </w:rPr>
              <w:t>万</w:t>
            </w:r>
          </w:p>
        </w:tc>
      </w:tr>
      <w:tr w14:paraId="7EBD7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84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AE63D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A071CC">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提供千兆</w:t>
            </w:r>
            <w:r>
              <w:rPr>
                <w:rFonts w:hint="default" w:ascii="Times New Roman" w:hAnsi="Times New Roman" w:eastAsia="仿宋" w:cs="Times New Roman"/>
                <w:color w:val="auto"/>
                <w:kern w:val="2"/>
                <w:sz w:val="21"/>
                <w:szCs w:val="21"/>
                <w:lang w:val="en-US" w:eastAsia="zh-CN" w:bidi="ar"/>
              </w:rPr>
              <w:t>Combo</w:t>
            </w:r>
            <w:r>
              <w:rPr>
                <w:rFonts w:hint="eastAsia" w:ascii="Times New Roman" w:hAnsi="Times New Roman" w:eastAsia="仿宋" w:cs="Times New Roman"/>
                <w:color w:val="auto"/>
                <w:kern w:val="2"/>
                <w:sz w:val="21"/>
                <w:szCs w:val="21"/>
                <w:lang w:val="en-US" w:eastAsia="zh-CN" w:bidi="ar"/>
              </w:rPr>
              <w:t>接口≥</w:t>
            </w:r>
            <w:r>
              <w:rPr>
                <w:rFonts w:hint="default" w:ascii="Times New Roman" w:hAnsi="Times New Roman" w:eastAsia="仿宋" w:cs="Times New Roman"/>
                <w:color w:val="auto"/>
                <w:kern w:val="2"/>
                <w:sz w:val="21"/>
                <w:szCs w:val="21"/>
                <w:lang w:val="en-US" w:eastAsia="zh-CN" w:bidi="ar"/>
              </w:rPr>
              <w:t>4</w:t>
            </w:r>
            <w:r>
              <w:rPr>
                <w:rFonts w:hint="eastAsia" w:ascii="Times New Roman" w:hAnsi="Times New Roman" w:eastAsia="仿宋" w:cs="Times New Roman"/>
                <w:color w:val="auto"/>
                <w:kern w:val="2"/>
                <w:sz w:val="21"/>
                <w:szCs w:val="21"/>
                <w:lang w:val="en-US" w:eastAsia="zh-CN" w:bidi="ar"/>
              </w:rPr>
              <w:t>，千兆电口≥</w:t>
            </w:r>
            <w:r>
              <w:rPr>
                <w:rFonts w:hint="default" w:ascii="Times New Roman" w:hAnsi="Times New Roman" w:eastAsia="仿宋" w:cs="Times New Roman"/>
                <w:color w:val="auto"/>
                <w:kern w:val="2"/>
                <w:sz w:val="21"/>
                <w:szCs w:val="21"/>
                <w:lang w:val="en-US" w:eastAsia="zh-CN" w:bidi="ar"/>
              </w:rPr>
              <w:t>4</w:t>
            </w:r>
            <w:r>
              <w:rPr>
                <w:rFonts w:hint="eastAsia" w:ascii="Times New Roman" w:hAnsi="Times New Roman" w:eastAsia="仿宋" w:cs="Times New Roman"/>
                <w:color w:val="auto"/>
                <w:kern w:val="2"/>
                <w:sz w:val="21"/>
                <w:szCs w:val="21"/>
                <w:lang w:val="en-US" w:eastAsia="zh-CN" w:bidi="ar"/>
              </w:rPr>
              <w:t>，千兆光口≥</w:t>
            </w:r>
            <w:r>
              <w:rPr>
                <w:rFonts w:hint="default" w:ascii="Times New Roman" w:hAnsi="Times New Roman" w:eastAsia="仿宋" w:cs="Times New Roman"/>
                <w:color w:val="auto"/>
                <w:kern w:val="2"/>
                <w:sz w:val="21"/>
                <w:szCs w:val="21"/>
                <w:lang w:val="en-US" w:eastAsia="zh-CN" w:bidi="ar"/>
              </w:rPr>
              <w:t>4</w:t>
            </w:r>
            <w:r>
              <w:rPr>
                <w:rFonts w:hint="eastAsia" w:ascii="Times New Roman" w:hAnsi="Times New Roman" w:eastAsia="仿宋" w:cs="Times New Roman"/>
                <w:color w:val="auto"/>
                <w:kern w:val="2"/>
                <w:sz w:val="21"/>
                <w:szCs w:val="21"/>
                <w:lang w:val="en-US" w:eastAsia="zh-CN" w:bidi="ar"/>
              </w:rPr>
              <w:t>，万兆光口≥</w:t>
            </w:r>
            <w:r>
              <w:rPr>
                <w:rFonts w:hint="default" w:ascii="Times New Roman" w:hAnsi="Times New Roman" w:eastAsia="仿宋" w:cs="Times New Roman"/>
                <w:color w:val="auto"/>
                <w:kern w:val="2"/>
                <w:sz w:val="21"/>
                <w:szCs w:val="21"/>
                <w:lang w:val="en-US" w:eastAsia="zh-CN" w:bidi="ar"/>
              </w:rPr>
              <w:t>6</w:t>
            </w:r>
            <w:r>
              <w:rPr>
                <w:rFonts w:hint="eastAsia" w:ascii="Times New Roman" w:hAnsi="Times New Roman" w:eastAsia="仿宋" w:cs="Times New Roman"/>
                <w:color w:val="auto"/>
                <w:kern w:val="2"/>
                <w:sz w:val="21"/>
                <w:szCs w:val="21"/>
                <w:lang w:val="en-US" w:eastAsia="zh-CN" w:bidi="ar"/>
              </w:rPr>
              <w:t>，配置</w:t>
            </w:r>
            <w:r>
              <w:rPr>
                <w:rFonts w:hint="default" w:ascii="Times New Roman" w:hAnsi="Times New Roman" w:eastAsia="仿宋" w:cs="Times New Roman"/>
                <w:color w:val="auto"/>
                <w:kern w:val="2"/>
                <w:sz w:val="21"/>
                <w:szCs w:val="21"/>
                <w:lang w:val="en-US" w:eastAsia="zh-CN" w:bidi="ar"/>
              </w:rPr>
              <w:t>6</w:t>
            </w:r>
            <w:r>
              <w:rPr>
                <w:rFonts w:hint="eastAsia" w:ascii="Times New Roman" w:hAnsi="Times New Roman" w:eastAsia="仿宋" w:cs="Times New Roman"/>
                <w:color w:val="auto"/>
                <w:kern w:val="2"/>
                <w:sz w:val="21"/>
                <w:szCs w:val="21"/>
                <w:lang w:val="en-US" w:eastAsia="zh-CN" w:bidi="ar"/>
              </w:rPr>
              <w:t>个万兆多模光模块</w:t>
            </w:r>
          </w:p>
        </w:tc>
      </w:tr>
      <w:tr w14:paraId="69834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trPr>
        <w:tc>
          <w:tcPr>
            <w:tcW w:w="84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7F5719">
            <w:pPr>
              <w:keepNext w:val="0"/>
              <w:keepLines w:val="0"/>
              <w:widowControl w:val="0"/>
              <w:suppressLineNumbers w:val="0"/>
              <w:spacing w:before="160" w:beforeAutospacing="0" w:after="160" w:afterAutospacing="0" w:line="36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功能要求</w:t>
            </w: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2C95C">
            <w:pPr>
              <w:keepNext w:val="0"/>
              <w:keepLines w:val="0"/>
              <w:widowControl w:val="0"/>
              <w:suppressLineNumbers w:val="0"/>
              <w:spacing w:before="0" w:beforeAutospacing="0" w:after="0" w:afterAutospacing="0" w:line="240" w:lineRule="auto"/>
              <w:ind w:left="0" w:right="0" w:firstLine="0" w:firstLineChars="0"/>
              <w:contextualSpacing w:val="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w:t>
            </w:r>
            <w:r>
              <w:rPr>
                <w:rFonts w:hint="default" w:ascii="Times New Roman" w:hAnsi="Times New Roman" w:eastAsia="仿宋" w:cs="Times New Roman"/>
                <w:color w:val="auto"/>
                <w:kern w:val="2"/>
                <w:sz w:val="21"/>
                <w:szCs w:val="21"/>
                <w:lang w:val="en-US" w:eastAsia="zh-CN" w:bidi="ar"/>
              </w:rPr>
              <w:t xml:space="preserve"> IPv6 </w:t>
            </w:r>
            <w:r>
              <w:rPr>
                <w:rFonts w:hint="eastAsia" w:ascii="Times New Roman" w:hAnsi="Times New Roman" w:eastAsia="仿宋" w:cs="Times New Roman"/>
                <w:color w:val="auto"/>
                <w:kern w:val="2"/>
                <w:sz w:val="21"/>
                <w:szCs w:val="21"/>
                <w:lang w:val="en-US" w:eastAsia="zh-CN" w:bidi="ar"/>
              </w:rPr>
              <w:t>协议栈，能够识别并正确处理</w:t>
            </w:r>
            <w:r>
              <w:rPr>
                <w:rFonts w:hint="default" w:ascii="Times New Roman" w:hAnsi="Times New Roman" w:eastAsia="仿宋" w:cs="Times New Roman"/>
                <w:color w:val="auto"/>
                <w:kern w:val="2"/>
                <w:sz w:val="21"/>
                <w:szCs w:val="21"/>
                <w:lang w:val="en-US" w:eastAsia="zh-CN" w:bidi="ar"/>
              </w:rPr>
              <w:t xml:space="preserve"> IPv6 </w:t>
            </w:r>
            <w:r>
              <w:rPr>
                <w:rFonts w:hint="eastAsia" w:ascii="Times New Roman" w:hAnsi="Times New Roman" w:eastAsia="仿宋" w:cs="Times New Roman"/>
                <w:color w:val="auto"/>
                <w:kern w:val="2"/>
                <w:sz w:val="21"/>
                <w:szCs w:val="21"/>
                <w:lang w:val="en-US" w:eastAsia="zh-CN" w:bidi="ar"/>
              </w:rPr>
              <w:t>路由扩展头；支持对</w:t>
            </w:r>
            <w:r>
              <w:rPr>
                <w:rFonts w:hint="default" w:ascii="Times New Roman" w:hAnsi="Times New Roman" w:eastAsia="仿宋" w:cs="Times New Roman"/>
                <w:color w:val="auto"/>
                <w:kern w:val="2"/>
                <w:sz w:val="21"/>
                <w:szCs w:val="21"/>
                <w:lang w:val="en-US" w:eastAsia="zh-CN" w:bidi="ar"/>
              </w:rPr>
              <w:t xml:space="preserve"> SRv6 </w:t>
            </w:r>
            <w:r>
              <w:rPr>
                <w:rFonts w:hint="eastAsia" w:ascii="Times New Roman" w:hAnsi="Times New Roman" w:eastAsia="仿宋" w:cs="Times New Roman"/>
                <w:color w:val="auto"/>
                <w:kern w:val="2"/>
                <w:sz w:val="21"/>
                <w:szCs w:val="21"/>
                <w:lang w:val="en-US" w:eastAsia="zh-CN" w:bidi="ar"/>
              </w:rPr>
              <w:t>封装流量的深度检测，可基于内层业务报文（</w:t>
            </w:r>
            <w:r>
              <w:rPr>
                <w:rFonts w:hint="default" w:ascii="Times New Roman" w:hAnsi="Times New Roman" w:eastAsia="仿宋" w:cs="Times New Roman"/>
                <w:color w:val="auto"/>
                <w:kern w:val="2"/>
                <w:sz w:val="21"/>
                <w:szCs w:val="21"/>
                <w:lang w:val="en-US" w:eastAsia="zh-CN" w:bidi="ar"/>
              </w:rPr>
              <w:t xml:space="preserve">IPv4/IPv6 </w:t>
            </w:r>
            <w:r>
              <w:rPr>
                <w:rFonts w:hint="eastAsia" w:ascii="Times New Roman" w:hAnsi="Times New Roman" w:eastAsia="仿宋" w:cs="Times New Roman"/>
                <w:color w:val="auto"/>
                <w:kern w:val="2"/>
                <w:sz w:val="21"/>
                <w:szCs w:val="21"/>
                <w:lang w:val="en-US" w:eastAsia="zh-CN" w:bidi="ar"/>
              </w:rPr>
              <w:t>五元组）或</w:t>
            </w:r>
            <w:r>
              <w:rPr>
                <w:rFonts w:hint="default" w:ascii="Times New Roman" w:hAnsi="Times New Roman" w:eastAsia="仿宋" w:cs="Times New Roman"/>
                <w:color w:val="auto"/>
                <w:kern w:val="2"/>
                <w:sz w:val="21"/>
                <w:szCs w:val="21"/>
                <w:lang w:val="en-US" w:eastAsia="zh-CN" w:bidi="ar"/>
              </w:rPr>
              <w:t xml:space="preserve"> SRv6 SID </w:t>
            </w:r>
            <w:r>
              <w:rPr>
                <w:rFonts w:hint="eastAsia" w:ascii="Times New Roman" w:hAnsi="Times New Roman" w:eastAsia="仿宋" w:cs="Times New Roman"/>
                <w:color w:val="auto"/>
                <w:kern w:val="2"/>
                <w:sz w:val="21"/>
                <w:szCs w:val="21"/>
                <w:lang w:val="en-US" w:eastAsia="zh-CN" w:bidi="ar"/>
              </w:rPr>
              <w:t>执行访问控制、入侵防御等安全策略；支持含</w:t>
            </w:r>
            <w:r>
              <w:rPr>
                <w:rFonts w:hint="default" w:ascii="Times New Roman" w:hAnsi="Times New Roman" w:eastAsia="仿宋" w:cs="Times New Roman"/>
                <w:color w:val="auto"/>
                <w:kern w:val="2"/>
                <w:sz w:val="21"/>
                <w:szCs w:val="21"/>
                <w:lang w:val="en-US" w:eastAsia="zh-CN" w:bidi="ar"/>
              </w:rPr>
              <w:t xml:space="preserve"> SRH </w:t>
            </w:r>
            <w:r>
              <w:rPr>
                <w:rFonts w:hint="eastAsia" w:ascii="Times New Roman" w:hAnsi="Times New Roman" w:eastAsia="仿宋" w:cs="Times New Roman"/>
                <w:color w:val="auto"/>
                <w:kern w:val="2"/>
                <w:sz w:val="21"/>
                <w:szCs w:val="21"/>
                <w:lang w:val="en-US" w:eastAsia="zh-CN" w:bidi="ar"/>
              </w:rPr>
              <w:t>的</w:t>
            </w:r>
            <w:r>
              <w:rPr>
                <w:rFonts w:hint="default" w:ascii="Times New Roman" w:hAnsi="Times New Roman" w:eastAsia="仿宋" w:cs="Times New Roman"/>
                <w:color w:val="auto"/>
                <w:kern w:val="2"/>
                <w:sz w:val="21"/>
                <w:szCs w:val="21"/>
                <w:lang w:val="en-US" w:eastAsia="zh-CN" w:bidi="ar"/>
              </w:rPr>
              <w:t xml:space="preserve"> IPv6 </w:t>
            </w:r>
            <w:r>
              <w:rPr>
                <w:rFonts w:hint="eastAsia" w:ascii="Times New Roman" w:hAnsi="Times New Roman" w:eastAsia="仿宋" w:cs="Times New Roman"/>
                <w:color w:val="auto"/>
                <w:kern w:val="2"/>
                <w:sz w:val="21"/>
                <w:szCs w:val="21"/>
                <w:lang w:val="en-US" w:eastAsia="zh-CN" w:bidi="ar"/>
              </w:rPr>
              <w:t>报文透明转发，不因扩展头存在而丢弃；</w:t>
            </w:r>
            <w:r>
              <w:rPr>
                <w:rFonts w:hint="eastAsia" w:ascii="Times New Roman" w:hAnsi="Times New Roman" w:eastAsia="仿宋" w:cs="Times New Roman"/>
                <w:b/>
                <w:bCs/>
                <w:color w:val="auto"/>
                <w:kern w:val="2"/>
                <w:sz w:val="21"/>
                <w:szCs w:val="21"/>
                <w:lang w:val="en-US" w:eastAsia="zh-CN" w:bidi="ar"/>
              </w:rPr>
              <w:t>（提供承诺函并加盖公章）</w:t>
            </w:r>
          </w:p>
          <w:p w14:paraId="0B29046B">
            <w:pPr>
              <w:keepNext w:val="0"/>
              <w:keepLines w:val="0"/>
              <w:widowControl w:val="0"/>
              <w:suppressLineNumbers w:val="0"/>
              <w:spacing w:before="0" w:beforeAutospacing="0" w:after="0" w:afterAutospacing="0" w:line="240" w:lineRule="auto"/>
              <w:ind w:left="0" w:right="0" w:firstLine="0" w:firstLineChars="0"/>
              <w:contextualSpacing w:val="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支持全面</w:t>
            </w:r>
            <w:r>
              <w:rPr>
                <w:rFonts w:hint="default" w:ascii="Times New Roman" w:hAnsi="Times New Roman" w:eastAsia="仿宋" w:cs="Times New Roman"/>
                <w:color w:val="auto"/>
                <w:kern w:val="2"/>
                <w:sz w:val="21"/>
                <w:szCs w:val="21"/>
                <w:lang w:val="en-US" w:eastAsia="zh-CN" w:bidi="ar"/>
              </w:rPr>
              <w:t>NAT</w:t>
            </w:r>
            <w:r>
              <w:rPr>
                <w:rFonts w:hint="eastAsia" w:ascii="Times New Roman" w:hAnsi="Times New Roman" w:eastAsia="仿宋" w:cs="Times New Roman"/>
                <w:color w:val="auto"/>
                <w:kern w:val="2"/>
                <w:sz w:val="21"/>
                <w:szCs w:val="21"/>
                <w:lang w:val="en-US" w:eastAsia="zh-CN" w:bidi="ar"/>
              </w:rPr>
              <w:t>功能，对多种应用层协议支持</w:t>
            </w:r>
            <w:r>
              <w:rPr>
                <w:rFonts w:hint="default" w:ascii="Times New Roman" w:hAnsi="Times New Roman" w:eastAsia="仿宋" w:cs="Times New Roman"/>
                <w:color w:val="auto"/>
                <w:kern w:val="2"/>
                <w:sz w:val="21"/>
                <w:szCs w:val="21"/>
                <w:lang w:val="en-US" w:eastAsia="zh-CN" w:bidi="ar"/>
              </w:rPr>
              <w:t>ALG</w:t>
            </w:r>
            <w:r>
              <w:rPr>
                <w:rFonts w:hint="eastAsia" w:ascii="Times New Roman" w:hAnsi="Times New Roman" w:eastAsia="仿宋" w:cs="Times New Roman"/>
                <w:color w:val="auto"/>
                <w:kern w:val="2"/>
                <w:sz w:val="21"/>
                <w:szCs w:val="21"/>
                <w:lang w:val="en-US" w:eastAsia="zh-CN" w:bidi="ar"/>
              </w:rPr>
              <w:t>功能，包括</w:t>
            </w:r>
            <w:r>
              <w:rPr>
                <w:rFonts w:hint="default" w:ascii="Times New Roman" w:hAnsi="Times New Roman" w:eastAsia="仿宋" w:cs="Times New Roman"/>
                <w:color w:val="auto"/>
                <w:kern w:val="2"/>
                <w:sz w:val="21"/>
                <w:szCs w:val="21"/>
                <w:lang w:val="en-US" w:eastAsia="zh-CN" w:bidi="ar"/>
              </w:rPr>
              <w:t>DNS</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FTP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H323</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MSN</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Netbios</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PPTP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RSH</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RTSP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SIP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SQLnet</w:t>
            </w:r>
            <w:r>
              <w:rPr>
                <w:rFonts w:hint="eastAsia" w:ascii="Times New Roman" w:hAnsi="Times New Roman" w:eastAsia="仿宋" w:cs="Times New Roman"/>
                <w:color w:val="auto"/>
                <w:kern w:val="2"/>
                <w:sz w:val="21"/>
                <w:szCs w:val="21"/>
                <w:lang w:val="en-US" w:eastAsia="zh-CN" w:bidi="ar"/>
              </w:rPr>
              <w:t>等；</w:t>
            </w:r>
          </w:p>
        </w:tc>
      </w:tr>
      <w:tr w14:paraId="01CE3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trPr>
        <w:tc>
          <w:tcPr>
            <w:tcW w:w="84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A106C2">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路由功能</w:t>
            </w: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474EED">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支持策略路由、路由策略和路由负荷分担，支持静态路由、</w:t>
            </w:r>
            <w:r>
              <w:rPr>
                <w:rFonts w:hint="default" w:ascii="Times New Roman" w:hAnsi="Times New Roman" w:eastAsia="仿宋" w:cs="Times New Roman"/>
                <w:color w:val="auto"/>
                <w:kern w:val="2"/>
                <w:sz w:val="21"/>
                <w:szCs w:val="21"/>
                <w:lang w:val="en-US" w:eastAsia="zh-CN" w:bidi="ar"/>
              </w:rPr>
              <w:t>RIPv1/v2</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RIPng</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OSPFv2</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OSPFv3</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IS-ISv4</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IS-ISv6</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BGP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BGP4+</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SRV6</w:t>
            </w:r>
            <w:r>
              <w:rPr>
                <w:rFonts w:hint="eastAsia" w:ascii="Times New Roman" w:hAnsi="Times New Roman" w:eastAsia="仿宋" w:cs="Times New Roman"/>
                <w:color w:val="auto"/>
                <w:kern w:val="2"/>
                <w:sz w:val="21"/>
                <w:szCs w:val="21"/>
                <w:lang w:val="en-US" w:eastAsia="zh-CN" w:bidi="ar"/>
              </w:rPr>
              <w:t>路由协议</w:t>
            </w:r>
          </w:p>
        </w:tc>
      </w:tr>
      <w:tr w14:paraId="69F4F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trPr>
        <w:tc>
          <w:tcPr>
            <w:tcW w:w="84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2461F9">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二层特性</w:t>
            </w: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B5F5FA">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支持</w:t>
            </w:r>
            <w:r>
              <w:rPr>
                <w:rFonts w:hint="default" w:ascii="Times New Roman" w:hAnsi="Times New Roman" w:eastAsia="仿宋" w:cs="Times New Roman"/>
                <w:color w:val="auto"/>
                <w:kern w:val="2"/>
                <w:sz w:val="21"/>
                <w:szCs w:val="21"/>
                <w:lang w:val="en-US" w:eastAsia="zh-CN" w:bidi="ar"/>
              </w:rPr>
              <w:t>IEEE 802.1q</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IEEE 802.1p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IEEE 802.3ad</w:t>
            </w:r>
            <w:r>
              <w:rPr>
                <w:rFonts w:hint="eastAsia" w:ascii="Times New Roman" w:hAnsi="Times New Roman" w:eastAsia="仿宋" w:cs="Times New Roman"/>
                <w:color w:val="auto"/>
                <w:kern w:val="2"/>
                <w:sz w:val="21"/>
                <w:szCs w:val="21"/>
                <w:lang w:val="en-US" w:eastAsia="zh-CN" w:bidi="ar"/>
              </w:rPr>
              <w:t>和</w:t>
            </w:r>
            <w:r>
              <w:rPr>
                <w:rFonts w:hint="default" w:ascii="Times New Roman" w:hAnsi="Times New Roman" w:eastAsia="仿宋" w:cs="Times New Roman"/>
                <w:color w:val="auto"/>
                <w:kern w:val="2"/>
                <w:sz w:val="21"/>
                <w:szCs w:val="21"/>
                <w:lang w:val="en-US" w:eastAsia="zh-CN" w:bidi="ar"/>
              </w:rPr>
              <w:t>IEEE 802.1ab</w:t>
            </w:r>
            <w:r>
              <w:rPr>
                <w:rFonts w:hint="eastAsia" w:ascii="Times New Roman" w:hAnsi="Times New Roman" w:eastAsia="仿宋" w:cs="Times New Roman"/>
                <w:color w:val="auto"/>
                <w:kern w:val="2"/>
                <w:sz w:val="21"/>
                <w:szCs w:val="21"/>
                <w:lang w:val="en-US" w:eastAsia="zh-CN" w:bidi="ar"/>
              </w:rPr>
              <w:t>等协议；支持</w:t>
            </w:r>
            <w:r>
              <w:rPr>
                <w:rFonts w:hint="default" w:ascii="Times New Roman" w:hAnsi="Times New Roman" w:eastAsia="仿宋" w:cs="Times New Roman"/>
                <w:color w:val="auto"/>
                <w:kern w:val="2"/>
                <w:sz w:val="21"/>
                <w:szCs w:val="21"/>
                <w:lang w:val="en-US" w:eastAsia="zh-CN" w:bidi="ar"/>
              </w:rPr>
              <w:t>STP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RSTP</w:t>
            </w: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MSTP</w:t>
            </w:r>
            <w:r>
              <w:rPr>
                <w:rFonts w:hint="eastAsia" w:ascii="Times New Roman" w:hAnsi="Times New Roman" w:eastAsia="仿宋" w:cs="Times New Roman"/>
                <w:color w:val="auto"/>
                <w:kern w:val="2"/>
                <w:sz w:val="21"/>
                <w:szCs w:val="21"/>
                <w:lang w:val="en-US" w:eastAsia="zh-CN" w:bidi="ar"/>
              </w:rPr>
              <w:t>和</w:t>
            </w:r>
            <w:r>
              <w:rPr>
                <w:rFonts w:hint="default" w:ascii="Times New Roman" w:hAnsi="Times New Roman" w:eastAsia="仿宋" w:cs="Times New Roman"/>
                <w:color w:val="auto"/>
                <w:kern w:val="2"/>
                <w:sz w:val="21"/>
                <w:szCs w:val="21"/>
                <w:lang w:val="en-US" w:eastAsia="zh-CN" w:bidi="ar"/>
              </w:rPr>
              <w:t>VLAN</w:t>
            </w:r>
            <w:r>
              <w:rPr>
                <w:rFonts w:hint="eastAsia" w:ascii="Times New Roman" w:hAnsi="Times New Roman" w:eastAsia="仿宋" w:cs="Times New Roman"/>
                <w:color w:val="auto"/>
                <w:kern w:val="2"/>
                <w:sz w:val="21"/>
                <w:szCs w:val="21"/>
                <w:lang w:val="en-US" w:eastAsia="zh-CN" w:bidi="ar"/>
              </w:rPr>
              <w:t>；支持</w:t>
            </w:r>
            <w:r>
              <w:rPr>
                <w:rFonts w:hint="default" w:ascii="Times New Roman" w:hAnsi="Times New Roman" w:eastAsia="仿宋" w:cs="Times New Roman"/>
                <w:color w:val="auto"/>
                <w:kern w:val="2"/>
                <w:sz w:val="21"/>
                <w:szCs w:val="21"/>
                <w:lang w:val="en-US" w:eastAsia="zh-CN" w:bidi="ar"/>
              </w:rPr>
              <w:t>MPLS/BGP VPN</w:t>
            </w:r>
            <w:r>
              <w:rPr>
                <w:rFonts w:hint="eastAsia" w:ascii="Times New Roman" w:hAnsi="Times New Roman" w:eastAsia="仿宋" w:cs="Times New Roman"/>
                <w:color w:val="auto"/>
                <w:kern w:val="2"/>
                <w:sz w:val="21"/>
                <w:szCs w:val="21"/>
                <w:lang w:val="en-US" w:eastAsia="zh-CN" w:bidi="ar"/>
              </w:rPr>
              <w:t>。</w:t>
            </w:r>
          </w:p>
        </w:tc>
      </w:tr>
      <w:tr w14:paraId="5BAE6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cantSplit/>
          <w:trHeight w:val="23" w:hRule="atLeast"/>
        </w:trPr>
        <w:tc>
          <w:tcPr>
            <w:tcW w:w="84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A955BB">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服务要求</w:t>
            </w:r>
          </w:p>
        </w:tc>
        <w:tc>
          <w:tcPr>
            <w:tcW w:w="41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AEB29A">
            <w:pPr>
              <w:keepNext w:val="0"/>
              <w:keepLines w:val="0"/>
              <w:widowControl/>
              <w:suppressLineNumbers w:val="0"/>
              <w:spacing w:before="160" w:beforeAutospacing="0" w:after="0" w:afterAutospacing="0" w:line="240" w:lineRule="auto"/>
              <w:ind w:left="0" w:right="0" w:firstLine="0" w:firstLineChars="0"/>
              <w:jc w:val="both"/>
              <w:rPr>
                <w:rFonts w:hint="default" w:ascii="Times New Roman" w:hAnsi="Times New Roman" w:eastAsia="仿宋" w:cs="Times New Roman"/>
                <w:sz w:val="21"/>
                <w:szCs w:val="21"/>
                <w:lang w:val="en-US"/>
              </w:rPr>
            </w:pPr>
            <w:r>
              <w:rPr>
                <w:rFonts w:hint="eastAsia" w:ascii="Times New Roman" w:hAnsi="Times New Roman" w:eastAsia="仿宋" w:cs="Times New Roman"/>
                <w:color w:val="auto"/>
                <w:kern w:val="2"/>
                <w:sz w:val="21"/>
                <w:szCs w:val="21"/>
                <w:lang w:val="en-US" w:eastAsia="zh-CN" w:bidi="ar"/>
              </w:rPr>
              <w:t>▲</w:t>
            </w:r>
            <w:r>
              <w:rPr>
                <w:rFonts w:hint="default" w:ascii="Times New Roman" w:hAnsi="Times New Roman" w:eastAsia="仿宋" w:cs="Times New Roman"/>
                <w:color w:val="auto"/>
                <w:kern w:val="2"/>
                <w:sz w:val="21"/>
                <w:szCs w:val="21"/>
                <w:lang w:val="en-US" w:eastAsia="zh-CN" w:bidi="ar"/>
              </w:rPr>
              <w:t>5</w:t>
            </w:r>
            <w:r>
              <w:rPr>
                <w:rFonts w:hint="eastAsia" w:ascii="Times New Roman" w:hAnsi="Times New Roman" w:eastAsia="仿宋" w:cs="Times New Roman"/>
                <w:color w:val="auto"/>
                <w:kern w:val="2"/>
                <w:sz w:val="21"/>
                <w:szCs w:val="21"/>
                <w:lang w:val="en-US" w:eastAsia="zh-CN" w:bidi="ar"/>
              </w:rPr>
              <w:t>年</w:t>
            </w:r>
            <w:r>
              <w:rPr>
                <w:rFonts w:hint="default" w:ascii="Times New Roman" w:hAnsi="Times New Roman" w:eastAsia="仿宋" w:cs="Times New Roman"/>
                <w:color w:val="auto"/>
                <w:kern w:val="2"/>
                <w:sz w:val="21"/>
                <w:szCs w:val="21"/>
                <w:lang w:val="en-US" w:eastAsia="zh-CN" w:bidi="ar"/>
              </w:rPr>
              <w:t>IPS</w:t>
            </w:r>
            <w:r>
              <w:rPr>
                <w:rFonts w:hint="eastAsia" w:ascii="Times New Roman" w:hAnsi="Times New Roman" w:eastAsia="仿宋" w:cs="Times New Roman"/>
                <w:color w:val="auto"/>
                <w:kern w:val="2"/>
                <w:sz w:val="21"/>
                <w:szCs w:val="21"/>
                <w:lang w:val="en-US" w:eastAsia="zh-CN" w:bidi="ar"/>
              </w:rPr>
              <w:t>、威胁情报、应用识别、</w:t>
            </w:r>
            <w:r>
              <w:rPr>
                <w:rFonts w:hint="default" w:ascii="Times New Roman" w:hAnsi="Times New Roman" w:eastAsia="仿宋" w:cs="Times New Roman"/>
                <w:color w:val="auto"/>
                <w:kern w:val="2"/>
                <w:sz w:val="21"/>
                <w:szCs w:val="21"/>
                <w:lang w:val="en-US" w:eastAsia="zh-CN" w:bidi="ar"/>
              </w:rPr>
              <w:t>URL</w:t>
            </w:r>
            <w:r>
              <w:rPr>
                <w:rFonts w:hint="eastAsia" w:ascii="Times New Roman" w:hAnsi="Times New Roman" w:eastAsia="仿宋" w:cs="Times New Roman"/>
                <w:color w:val="auto"/>
                <w:kern w:val="2"/>
                <w:sz w:val="21"/>
                <w:szCs w:val="21"/>
                <w:lang w:val="en-US" w:eastAsia="zh-CN" w:bidi="ar"/>
              </w:rPr>
              <w:t>分类、防病毒特征库升级服务，五年原厂硬件质保服务和软件升级服务。</w:t>
            </w:r>
            <w:r>
              <w:rPr>
                <w:rFonts w:hint="eastAsia" w:ascii="Times New Roman" w:hAnsi="Times New Roman" w:eastAsia="仿宋" w:cs="Times New Roman"/>
                <w:b/>
                <w:bCs/>
                <w:color w:val="auto"/>
                <w:kern w:val="2"/>
                <w:sz w:val="21"/>
                <w:szCs w:val="21"/>
                <w:lang w:val="en-US" w:eastAsia="zh-CN" w:bidi="ar"/>
              </w:rPr>
              <w:t>（提供承诺函并加盖公章）</w:t>
            </w:r>
          </w:p>
        </w:tc>
      </w:tr>
    </w:tbl>
    <w:p w14:paraId="43C1F151">
      <w:pPr>
        <w:rPr>
          <w:rFonts w:hint="eastAsia" w:ascii="宋体" w:hAnsi="宋体"/>
          <w:color w:val="000000"/>
          <w:sz w:val="24"/>
        </w:rPr>
      </w:pPr>
    </w:p>
    <w:p w14:paraId="1BBB5466">
      <w:pPr>
        <w:ind w:firstLine="480"/>
        <w:rPr>
          <w:rFonts w:hint="eastAsia" w:eastAsia="仿宋" w:cs="Times New Roman"/>
          <w:kern w:val="2"/>
          <w:sz w:val="28"/>
          <w:szCs w:val="28"/>
          <w:lang w:val="en-US" w:eastAsia="zh-CN" w:bidi="ar"/>
        </w:rPr>
      </w:pPr>
      <w:r>
        <w:rPr>
          <w:rFonts w:hint="default" w:eastAsia="仿宋" w:cs="Times New Roman"/>
          <w:kern w:val="2"/>
          <w:sz w:val="28"/>
          <w:szCs w:val="28"/>
          <w:lang w:val="en-US" w:eastAsia="zh-CN" w:bidi="ar"/>
        </w:rPr>
        <w:t>▲SDN</w:t>
      </w:r>
      <w:r>
        <w:rPr>
          <w:rFonts w:hint="eastAsia" w:eastAsia="仿宋" w:cs="Times New Roman"/>
          <w:kern w:val="2"/>
          <w:sz w:val="28"/>
          <w:szCs w:val="28"/>
          <w:lang w:val="en-US" w:eastAsia="zh-CN" w:bidi="ar"/>
        </w:rPr>
        <w:t>控制器要求：</w:t>
      </w:r>
    </w:p>
    <w:p w14:paraId="393D3607">
      <w:pPr>
        <w:ind w:firstLine="480"/>
        <w:rPr>
          <w:rFonts w:hint="eastAsia" w:ascii="Times New Roman" w:hAnsi="Times New Roman" w:eastAsia="仿宋" w:cs="Times New Roman"/>
          <w:b/>
          <w:bCs/>
          <w:kern w:val="2"/>
          <w:sz w:val="28"/>
          <w:szCs w:val="28"/>
          <w:lang w:val="en-US" w:eastAsia="zh-CN" w:bidi="ar"/>
        </w:rPr>
      </w:pPr>
      <w:r>
        <w:rPr>
          <w:rFonts w:hint="eastAsia" w:eastAsia="仿宋" w:cs="Times New Roman"/>
          <w:kern w:val="2"/>
          <w:sz w:val="28"/>
          <w:szCs w:val="28"/>
          <w:lang w:val="en-US" w:eastAsia="zh-CN" w:bidi="ar"/>
        </w:rPr>
        <w:t>支持网络基础管理，存量管理、告警管理、网元管理，支持</w:t>
      </w:r>
      <w:r>
        <w:rPr>
          <w:rFonts w:hint="default" w:eastAsia="仿宋" w:cs="Times New Roman"/>
          <w:kern w:val="2"/>
          <w:sz w:val="28"/>
          <w:szCs w:val="28"/>
          <w:lang w:val="en-US" w:eastAsia="zh-CN" w:bidi="ar"/>
        </w:rPr>
        <w:t>VPN</w:t>
      </w:r>
      <w:r>
        <w:rPr>
          <w:rFonts w:hint="eastAsia" w:eastAsia="仿宋" w:cs="Times New Roman"/>
          <w:kern w:val="2"/>
          <w:sz w:val="28"/>
          <w:szCs w:val="28"/>
          <w:lang w:val="en-US" w:eastAsia="zh-CN" w:bidi="ar"/>
        </w:rPr>
        <w:t>业务拓扑可视、路径和状态可视化，支持切片部署自动化，随用随切，业务驱动切片灵活创建，配置平台系统，含路由器管理授权，切片、</w:t>
      </w:r>
      <w:r>
        <w:rPr>
          <w:rFonts w:hint="default" w:eastAsia="仿宋" w:cs="Times New Roman"/>
          <w:kern w:val="2"/>
          <w:sz w:val="28"/>
          <w:szCs w:val="28"/>
          <w:lang w:val="en-US" w:eastAsia="zh-CN" w:bidi="ar"/>
        </w:rPr>
        <w:t>SRv6</w:t>
      </w:r>
      <w:r>
        <w:rPr>
          <w:rFonts w:hint="eastAsia" w:eastAsia="仿宋" w:cs="Times New Roman"/>
          <w:kern w:val="2"/>
          <w:sz w:val="28"/>
          <w:szCs w:val="28"/>
          <w:lang w:val="en-US" w:eastAsia="zh-CN" w:bidi="ar"/>
        </w:rPr>
        <w:t>功能授权，</w:t>
      </w:r>
      <w:r>
        <w:rPr>
          <w:rFonts w:hint="default" w:eastAsia="仿宋" w:cs="Times New Roman"/>
          <w:kern w:val="2"/>
          <w:sz w:val="28"/>
          <w:szCs w:val="28"/>
          <w:lang w:val="en-US" w:eastAsia="zh-CN" w:bidi="ar"/>
        </w:rPr>
        <w:t>5</w:t>
      </w:r>
      <w:r>
        <w:rPr>
          <w:rFonts w:hint="eastAsia" w:eastAsia="仿宋" w:cs="Times New Roman"/>
          <w:kern w:val="2"/>
          <w:sz w:val="28"/>
          <w:szCs w:val="28"/>
          <w:lang w:val="en-US" w:eastAsia="zh-CN" w:bidi="ar"/>
        </w:rPr>
        <w:t>年升级服务，提供满足上述要求的国产化的硬件平台。</w:t>
      </w:r>
      <w:r>
        <w:rPr>
          <w:rFonts w:hint="eastAsia" w:ascii="Times New Roman" w:hAnsi="Times New Roman" w:eastAsia="仿宋" w:cs="Times New Roman"/>
          <w:b/>
          <w:bCs/>
          <w:kern w:val="2"/>
          <w:sz w:val="28"/>
          <w:szCs w:val="28"/>
          <w:lang w:val="en-US" w:eastAsia="zh-CN" w:bidi="ar"/>
        </w:rPr>
        <w:t>（提供承诺函并加盖公章）</w:t>
      </w:r>
    </w:p>
    <w:p w14:paraId="1A94808D">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服务要求：</w:t>
      </w:r>
    </w:p>
    <w:p w14:paraId="5F57503F">
      <w:pPr>
        <w:ind w:firstLine="480"/>
        <w:rPr>
          <w:rFonts w:hint="eastAsia" w:ascii="Times New Roman" w:hAnsi="Times New Roman" w:eastAsia="仿宋" w:cs="Times New Roman"/>
          <w:b/>
          <w:bCs/>
          <w:kern w:val="2"/>
          <w:sz w:val="28"/>
          <w:szCs w:val="28"/>
          <w:lang w:val="en-US" w:eastAsia="zh-CN" w:bidi="ar"/>
        </w:rPr>
      </w:pPr>
      <w:r>
        <w:rPr>
          <w:rFonts w:hint="eastAsia" w:ascii="Times New Roman" w:hAnsi="Times New Roman" w:eastAsia="仿宋" w:cs="Times New Roman"/>
          <w:kern w:val="2"/>
          <w:sz w:val="28"/>
          <w:szCs w:val="28"/>
          <w:lang w:val="en-US" w:eastAsia="zh-CN" w:bidi="ar"/>
        </w:rPr>
        <w:t>★实现与市级路由器华为 M14的对接和联调以及满足市级要求的相关协议和路由策略配置;实现新建 SDN 控制器与市级华为 SDN 对接或与市级跨域编排器的对接</w:t>
      </w:r>
      <w:r>
        <w:rPr>
          <w:rFonts w:hint="eastAsia" w:eastAsia="仿宋" w:cs="Times New Roman"/>
          <w:kern w:val="2"/>
          <w:sz w:val="28"/>
          <w:szCs w:val="28"/>
          <w:lang w:val="en-US" w:eastAsia="zh-CN" w:bidi="ar"/>
        </w:rPr>
        <w:t>，若对接涉及费用，应由供应商负责</w:t>
      </w:r>
      <w:r>
        <w:rPr>
          <w:rFonts w:hint="eastAsia" w:ascii="Times New Roman" w:hAnsi="Times New Roman" w:eastAsia="仿宋" w:cs="Times New Roman"/>
          <w:kern w:val="2"/>
          <w:sz w:val="28"/>
          <w:szCs w:val="28"/>
          <w:lang w:val="en-US" w:eastAsia="zh-CN" w:bidi="ar"/>
        </w:rPr>
        <w:t>。</w:t>
      </w:r>
      <w:r>
        <w:rPr>
          <w:rFonts w:hint="eastAsia" w:ascii="Times New Roman" w:hAnsi="Times New Roman" w:eastAsia="仿宋" w:cs="Times New Roman"/>
          <w:b/>
          <w:bCs/>
          <w:kern w:val="2"/>
          <w:sz w:val="28"/>
          <w:szCs w:val="28"/>
          <w:lang w:val="en-US" w:eastAsia="zh-CN" w:bidi="ar"/>
        </w:rPr>
        <w:t>（提供承诺函并加盖公章）</w:t>
      </w:r>
    </w:p>
    <w:p w14:paraId="531B192F">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服务方案输出，应该包括以下方案：</w:t>
      </w:r>
    </w:p>
    <w:p w14:paraId="1BB6C38B">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1.整体技术解决方案：涵盖需求分析、架构规划、组网设计、设备链路配置、路由设置、业务承载以及可靠性保障，文字与网络拓扑图结合的形式展现项目建设全貌，细化系统配置，确保方案科学、合理、可行，针对性强，满足项目建设目标，保障项目安全运行。</w:t>
      </w:r>
    </w:p>
    <w:p w14:paraId="4F6B310B">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2.网络割接方案：现有网络正在运行的所有业务系统将分阶段、分步骤平滑切换至新一张网平面，通过科学、合理、切实可行的网络割接方案，确保业务运行的平滑、稳定和安全。</w:t>
      </w:r>
    </w:p>
    <w:p w14:paraId="509ABD6C">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3.项目实施方案：包括供货及安装各节点时间进度、人员配置安排、质量控制、文明施工等，方案应科学、合理、切实可行、针对性强，保障文明安全施工零事故，确保项目整体质量控制达到项目设计及各参数要求。</w:t>
      </w:r>
    </w:p>
    <w:p w14:paraId="25EDB4FA">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4.售后服务方案：包括组织机构与人员配置、日常巡检、故障处理、应急响应、运维流程与规范等内容，保障方案应紧密结合浦口区电子政务外网实际情况，方案内容完整、切实可行，确保售后服务的规范和高效。</w:t>
      </w:r>
    </w:p>
    <w:p w14:paraId="1441D713">
      <w:pPr>
        <w:ind w:firstLine="480"/>
        <w:rPr>
          <w:rFonts w:hint="eastAsia" w:ascii="Times New Roman" w:hAnsi="Times New Roman" w:eastAsia="仿宋" w:cs="Times New Roman"/>
          <w:kern w:val="2"/>
          <w:sz w:val="28"/>
          <w:szCs w:val="28"/>
          <w:lang w:val="en-US" w:eastAsia="zh-CN" w:bidi="ar"/>
        </w:rPr>
      </w:pPr>
      <w:r>
        <w:rPr>
          <w:rFonts w:hint="eastAsia" w:ascii="Times New Roman" w:hAnsi="Times New Roman" w:eastAsia="仿宋" w:cs="Times New Roman"/>
          <w:kern w:val="2"/>
          <w:sz w:val="28"/>
          <w:szCs w:val="28"/>
          <w:lang w:val="en-US" w:eastAsia="zh-CN" w:bidi="ar"/>
        </w:rPr>
        <w:t>5.培训方案：应提供至少一次的培训，培训内容应涵盖涉及本项目的所有技术要点、SDN控制器使用方式、日常维护要点</w:t>
      </w:r>
      <w:r>
        <w:rPr>
          <w:rFonts w:hint="eastAsia" w:eastAsia="仿宋" w:cs="Times New Roman"/>
          <w:kern w:val="2"/>
          <w:sz w:val="28"/>
          <w:szCs w:val="28"/>
          <w:lang w:val="en-US" w:eastAsia="zh-CN" w:bidi="ar"/>
        </w:rPr>
        <w:t>等</w:t>
      </w:r>
      <w:r>
        <w:rPr>
          <w:rFonts w:hint="eastAsia" w:ascii="Times New Roman" w:hAnsi="Times New Roman" w:eastAsia="仿宋" w:cs="Times New Roman"/>
          <w:kern w:val="2"/>
          <w:sz w:val="28"/>
          <w:szCs w:val="28"/>
          <w:lang w:val="en-US" w:eastAsia="zh-CN" w:bidi="ar"/>
        </w:rPr>
        <w:t>、常规故障排查等内容。</w:t>
      </w:r>
    </w:p>
    <w:p w14:paraId="47D15C3B">
      <w:pPr>
        <w:ind w:firstLine="480"/>
        <w:rPr>
          <w:rFonts w:hint="default" w:ascii="Times New Roman" w:hAnsi="Times New Roman" w:eastAsia="仿宋" w:cs="Times New Roman"/>
          <w:kern w:val="2"/>
          <w:sz w:val="28"/>
          <w:szCs w:val="28"/>
          <w:lang w:val="en-US" w:eastAsia="zh-CN" w:bidi="ar"/>
        </w:rPr>
      </w:pPr>
      <w:r>
        <w:rPr>
          <w:rFonts w:hint="eastAsia" w:ascii="Times New Roman" w:hAnsi="Times New Roman" w:eastAsia="仿宋" w:cs="Times New Roman"/>
          <w:color w:val="auto"/>
          <w:kern w:val="2"/>
          <w:sz w:val="21"/>
          <w:szCs w:val="21"/>
          <w:lang w:val="en-US" w:eastAsia="zh-CN" w:bidi="ar"/>
        </w:rPr>
        <w:t>▲</w:t>
      </w:r>
      <w:r>
        <w:rPr>
          <w:rFonts w:hint="eastAsia" w:eastAsia="仿宋" w:cs="Times New Roman"/>
          <w:kern w:val="2"/>
          <w:sz w:val="28"/>
          <w:szCs w:val="28"/>
          <w:lang w:val="en-US" w:eastAsia="zh-CN" w:bidi="ar"/>
        </w:rPr>
        <w:t>其他服务要求：提供不低于五个接入点位的零星设备保障，应满足新一张网SRV6接入要求和实际业务使用需求。</w:t>
      </w:r>
      <w:r>
        <w:rPr>
          <w:rFonts w:hint="eastAsia" w:ascii="Times New Roman" w:hAnsi="Times New Roman" w:eastAsia="仿宋" w:cs="Times New Roman"/>
          <w:b/>
          <w:bCs/>
          <w:kern w:val="2"/>
          <w:sz w:val="28"/>
          <w:szCs w:val="28"/>
          <w:lang w:val="en-US" w:eastAsia="zh-CN" w:bidi="ar"/>
        </w:rPr>
        <w:t>（提供承诺函并加盖公章）</w:t>
      </w:r>
    </w:p>
    <w:p w14:paraId="5183D9FA">
      <w:pPr>
        <w:rPr>
          <w:rFonts w:ascii="宋体" w:hAnsi="宋体" w:cs="宋体"/>
          <w:bCs/>
          <w:color w:val="000000"/>
          <w:sz w:val="24"/>
          <w:szCs w:val="24"/>
        </w:rPr>
      </w:pPr>
      <w:r>
        <w:rPr>
          <w:rFonts w:hint="eastAsia" w:ascii="宋体" w:hAnsi="宋体" w:cs="宋体"/>
          <w:bCs/>
          <w:color w:val="000000"/>
          <w:sz w:val="24"/>
          <w:szCs w:val="24"/>
        </w:rPr>
        <w:t>（二）商务要求</w:t>
      </w:r>
    </w:p>
    <w:p w14:paraId="4F91D3DA">
      <w:pPr>
        <w:spacing w:line="264"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报价要求</w:t>
      </w:r>
    </w:p>
    <w:p w14:paraId="4185D51C">
      <w:pPr>
        <w:ind w:firstLine="480"/>
        <w:rPr>
          <w:rFonts w:ascii="宋体" w:hAnsi="宋体" w:cs="宋体"/>
          <w:color w:val="000000"/>
          <w:sz w:val="24"/>
          <w:szCs w:val="24"/>
        </w:rPr>
      </w:pPr>
      <w:r>
        <w:rPr>
          <w:rFonts w:hint="eastAsia" w:ascii="宋体" w:hAnsi="宋体" w:cs="宋体"/>
          <w:color w:val="000000"/>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7DBC702F">
      <w:pPr>
        <w:ind w:firstLine="480"/>
        <w:rPr>
          <w:rFonts w:ascii="宋体" w:hAnsi="宋体" w:cs="宋体"/>
          <w:color w:val="000000"/>
          <w:sz w:val="24"/>
          <w:szCs w:val="24"/>
        </w:rPr>
      </w:pPr>
      <w:r>
        <w:rPr>
          <w:rFonts w:hint="eastAsia" w:ascii="宋体" w:hAnsi="宋体" w:cs="宋体"/>
          <w:color w:val="000000"/>
          <w:sz w:val="24"/>
          <w:szCs w:val="24"/>
        </w:rPr>
        <w:t>（2）供应商的任何错漏、优惠、竞争性报价不得作为减轻责任、减少服务、增加收费、降低服务质量的理由。</w:t>
      </w:r>
    </w:p>
    <w:p w14:paraId="1CFBBEEA">
      <w:pPr>
        <w:ind w:firstLine="480"/>
        <w:rPr>
          <w:rFonts w:ascii="宋体" w:hAnsi="宋体" w:cs="宋体"/>
          <w:color w:val="000000"/>
          <w:sz w:val="24"/>
          <w:szCs w:val="24"/>
        </w:rPr>
      </w:pPr>
      <w:r>
        <w:rPr>
          <w:rFonts w:hint="eastAsia" w:ascii="宋体" w:hAnsi="宋体" w:cs="宋体"/>
          <w:color w:val="000000"/>
          <w:sz w:val="24"/>
          <w:szCs w:val="24"/>
        </w:rPr>
        <w:t>（3）供应商报价除包含招标文件中列明的项目外，还应包括保障产品正常使用应当具有的物资和服务，对产品正常使用应当具有的物资和服务理解不一致的以采购单位理解为准。</w:t>
      </w:r>
    </w:p>
    <w:p w14:paraId="547A45E3">
      <w:pPr>
        <w:ind w:firstLine="480"/>
        <w:rPr>
          <w:rFonts w:ascii="宋体" w:hAnsi="宋体" w:cs="宋体"/>
          <w:bCs/>
          <w:color w:val="000000"/>
          <w:sz w:val="24"/>
          <w:szCs w:val="24"/>
        </w:rPr>
      </w:pPr>
      <w:r>
        <w:rPr>
          <w:rFonts w:hint="eastAsia" w:ascii="宋体" w:hAnsi="宋体"/>
          <w:color w:val="000000"/>
          <w:sz w:val="24"/>
        </w:rPr>
        <w:t>★</w:t>
      </w:r>
      <w:r>
        <w:rPr>
          <w:rFonts w:hint="eastAsia" w:ascii="宋体" w:hAnsi="宋体" w:cs="宋体"/>
          <w:bCs/>
          <w:color w:val="000000"/>
          <w:sz w:val="24"/>
          <w:szCs w:val="24"/>
        </w:rPr>
        <w:t>2.实施要求</w:t>
      </w:r>
    </w:p>
    <w:p w14:paraId="693F18DD">
      <w:pPr>
        <w:ind w:firstLine="480"/>
        <w:rPr>
          <w:rFonts w:ascii="宋体" w:hAnsi="宋体" w:cs="宋体"/>
          <w:color w:val="000000"/>
          <w:sz w:val="24"/>
          <w:szCs w:val="24"/>
        </w:rPr>
      </w:pPr>
      <w:r>
        <w:rPr>
          <w:rFonts w:ascii="宋体" w:hAnsi="宋体" w:cs="宋体"/>
          <w:color w:val="000000"/>
          <w:sz w:val="24"/>
          <w:szCs w:val="24"/>
        </w:rPr>
        <w:t>（</w:t>
      </w:r>
      <w:r>
        <w:rPr>
          <w:rFonts w:hint="eastAsia" w:ascii="宋体" w:hAnsi="宋体" w:cs="宋体"/>
          <w:color w:val="000000"/>
          <w:sz w:val="24"/>
          <w:szCs w:val="24"/>
        </w:rPr>
        <w:t>1</w:t>
      </w:r>
      <w:r>
        <w:rPr>
          <w:rFonts w:ascii="宋体" w:hAnsi="宋体" w:cs="宋体"/>
          <w:color w:val="000000"/>
          <w:sz w:val="24"/>
          <w:szCs w:val="24"/>
        </w:rPr>
        <w:t>）</w:t>
      </w:r>
      <w:r>
        <w:rPr>
          <w:rFonts w:hint="eastAsia" w:ascii="宋体" w:hAnsi="宋体" w:cs="宋体"/>
          <w:color w:val="000000"/>
          <w:sz w:val="24"/>
          <w:szCs w:val="24"/>
        </w:rPr>
        <w:t>质量要求</w:t>
      </w:r>
    </w:p>
    <w:p w14:paraId="1F175CD3">
      <w:pPr>
        <w:ind w:firstLine="480"/>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①</w:t>
      </w:r>
      <w:r>
        <w:rPr>
          <w:rFonts w:hint="eastAsia" w:ascii="宋体" w:hAnsi="宋体" w:cs="宋体"/>
          <w:color w:val="000000"/>
          <w:sz w:val="24"/>
          <w:szCs w:val="24"/>
        </w:rPr>
        <w:fldChar w:fldCharType="end"/>
      </w:r>
      <w:r>
        <w:rPr>
          <w:rFonts w:hint="eastAsia" w:ascii="宋体" w:hAnsi="宋体" w:cs="宋体"/>
          <w:color w:val="000000"/>
          <w:sz w:val="24"/>
          <w:szCs w:val="24"/>
        </w:rPr>
        <w:t>原材料及辅材应符合国家规定的强制性环保指标。</w:t>
      </w:r>
    </w:p>
    <w:p w14:paraId="49CBD38D">
      <w:pPr>
        <w:ind w:firstLine="480"/>
        <w:rPr>
          <w:rFonts w:ascii="宋体" w:hAnsi="宋体" w:cs="宋体"/>
          <w:color w:val="000000"/>
          <w:sz w:val="24"/>
          <w:szCs w:val="24"/>
          <w:highlight w:val="yellow"/>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供</w:t>
      </w:r>
      <w:r>
        <w:rPr>
          <w:rFonts w:hint="eastAsia" w:ascii="宋体" w:hAnsi="宋体" w:cs="宋体"/>
          <w:color w:val="000000"/>
          <w:sz w:val="24"/>
          <w:szCs w:val="24"/>
        </w:rPr>
        <w:t>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p>
    <w:p w14:paraId="18B198F6">
      <w:pPr>
        <w:ind w:firstLine="480"/>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③</w:t>
      </w:r>
      <w:r>
        <w:rPr>
          <w:rFonts w:hint="eastAsia" w:ascii="宋体" w:hAnsi="宋体" w:cs="宋体"/>
          <w:color w:val="000000"/>
          <w:sz w:val="24"/>
          <w:szCs w:val="24"/>
        </w:rPr>
        <w:fldChar w:fldCharType="end"/>
      </w:r>
      <w:r>
        <w:rPr>
          <w:rFonts w:hint="eastAsia" w:ascii="宋体" w:hAnsi="宋体" w:cs="宋体"/>
          <w:color w:val="000000"/>
          <w:sz w:val="24"/>
          <w:szCs w:val="24"/>
        </w:rPr>
        <w:t>所提供的技术资料（含软件）完整正确，采购人拥有技术资料（含软件）所有权、使用权等，数据和资料准确无误，能够保证设备按时正确地安装、调试和验收，并能满足正常运行和维修保养的需要。</w:t>
      </w:r>
    </w:p>
    <w:p w14:paraId="7ABE95B9">
      <w:pPr>
        <w:ind w:firstLine="480"/>
        <w:rPr>
          <w:rFonts w:ascii="宋体" w:hAnsi="宋体" w:cs="宋体"/>
          <w:color w:val="000000"/>
          <w:sz w:val="24"/>
          <w:szCs w:val="24"/>
        </w:rPr>
      </w:pPr>
      <w:r>
        <w:rPr>
          <w:rFonts w:hint="eastAsia" w:ascii="宋体" w:hAnsi="宋体" w:cs="宋体"/>
          <w:color w:val="000000"/>
          <w:sz w:val="24"/>
          <w:szCs w:val="24"/>
        </w:rPr>
        <w:t>④如未能达到合同要求，采购人有权退货并要求供应商赔偿损失。</w:t>
      </w:r>
    </w:p>
    <w:p w14:paraId="068CA9B3">
      <w:pPr>
        <w:widowControl/>
        <w:ind w:firstLine="480"/>
        <w:jc w:val="left"/>
        <w:rPr>
          <w:rFonts w:ascii="宋体" w:hAnsi="宋体" w:cs="宋体"/>
          <w:sz w:val="24"/>
          <w:szCs w:val="24"/>
        </w:rPr>
      </w:pPr>
      <w:r>
        <w:rPr>
          <w:rFonts w:hint="eastAsia" w:ascii="宋体" w:hAnsi="宋体" w:cs="宋体"/>
          <w:bCs/>
          <w:color w:val="000000"/>
          <w:sz w:val="24"/>
          <w:szCs w:val="24"/>
        </w:rPr>
        <w:t>（</w:t>
      </w:r>
      <w:r>
        <w:rPr>
          <w:rFonts w:hint="eastAsia" w:ascii="宋体" w:hAnsi="宋体" w:cs="宋体"/>
          <w:bCs/>
          <w:color w:val="000000"/>
          <w:sz w:val="24"/>
          <w:szCs w:val="24"/>
          <w:lang w:val="en-US" w:eastAsia="zh-CN"/>
        </w:rPr>
        <w:t>2</w:t>
      </w:r>
      <w:r>
        <w:rPr>
          <w:rFonts w:hint="eastAsia" w:ascii="宋体" w:hAnsi="宋体" w:cs="宋体"/>
          <w:bCs/>
          <w:color w:val="000000"/>
          <w:sz w:val="24"/>
          <w:szCs w:val="24"/>
        </w:rPr>
        <w:t>）质保（维保）及</w:t>
      </w:r>
      <w:r>
        <w:rPr>
          <w:rFonts w:hint="eastAsia" w:ascii="宋体" w:hAnsi="宋体" w:cs="宋体"/>
          <w:sz w:val="24"/>
          <w:szCs w:val="24"/>
        </w:rPr>
        <w:t>售后要求</w:t>
      </w:r>
    </w:p>
    <w:p w14:paraId="5E5E2EAD">
      <w:pPr>
        <w:widowControl/>
        <w:ind w:firstLine="480"/>
        <w:jc w:val="left"/>
        <w:rPr>
          <w:rFonts w:ascii="宋体" w:hAnsi="宋体" w:cs="宋体"/>
          <w:sz w:val="24"/>
          <w:szCs w:val="24"/>
        </w:rPr>
      </w:pPr>
      <w:r>
        <w:rPr>
          <w:rFonts w:hint="eastAsia" w:ascii="宋体" w:hAnsi="宋体" w:cs="宋体"/>
          <w:sz w:val="24"/>
          <w:szCs w:val="24"/>
        </w:rPr>
        <w:t>①</w:t>
      </w:r>
      <w:r>
        <w:rPr>
          <w:rFonts w:hint="eastAsia" w:ascii="宋体" w:hAnsi="宋体" w:cs="宋体"/>
          <w:color w:val="000000"/>
          <w:sz w:val="24"/>
          <w:szCs w:val="24"/>
          <w:highlight w:val="none"/>
        </w:rPr>
        <w:t>供应商</w:t>
      </w:r>
      <w:r>
        <w:rPr>
          <w:rFonts w:hint="eastAsia" w:ascii="宋体" w:hAnsi="宋体" w:cs="宋体"/>
          <w:sz w:val="24"/>
          <w:szCs w:val="24"/>
          <w:highlight w:val="none"/>
        </w:rPr>
        <w:t>提供免费上门质保</w:t>
      </w:r>
      <w:r>
        <w:rPr>
          <w:rFonts w:hint="eastAsia" w:ascii="宋体" w:hAnsi="宋体" w:cs="宋体"/>
          <w:sz w:val="24"/>
          <w:szCs w:val="24"/>
          <w:highlight w:val="none"/>
          <w:lang w:val="en-US" w:eastAsia="zh-CN"/>
        </w:rPr>
        <w:t>五</w:t>
      </w:r>
      <w:r>
        <w:rPr>
          <w:rFonts w:hint="eastAsia" w:ascii="宋体" w:hAnsi="宋体" w:cs="宋体"/>
          <w:sz w:val="24"/>
          <w:szCs w:val="24"/>
          <w:highlight w:val="none"/>
        </w:rPr>
        <w:t>年（含）以上质保服务承诺函。</w:t>
      </w:r>
      <w:r>
        <w:rPr>
          <w:rFonts w:hint="eastAsia" w:ascii="宋体" w:hAnsi="宋体" w:cs="宋体"/>
          <w:sz w:val="24"/>
          <w:szCs w:val="24"/>
        </w:rPr>
        <w:t xml:space="preserve">项目中投标人对产品有延长质保承诺，应按照承诺履约。自验收报告签字确认日起，开始进入质保期。 </w:t>
      </w:r>
    </w:p>
    <w:p w14:paraId="707BFAD3">
      <w:pPr>
        <w:ind w:firstLine="480"/>
        <w:rPr>
          <w:rFonts w:ascii="宋体" w:hAnsi="宋体" w:cs="宋体"/>
          <w:color w:val="000000"/>
          <w:sz w:val="24"/>
          <w:szCs w:val="24"/>
          <w:highlight w:val="green"/>
        </w:rPr>
      </w:pPr>
      <w:r>
        <w:rPr>
          <w:rFonts w:hint="eastAsia" w:ascii="宋体" w:hAnsi="宋体" w:cs="宋体"/>
          <w:color w:val="000000"/>
          <w:sz w:val="24"/>
          <w:szCs w:val="24"/>
        </w:rPr>
        <w:t>②质保期内，一旦产品发生质量问题，供应商接到报修请求，应在2小时内响应，4小时内维修人员到达现场，故障报修24小时内无法及时修复的须提供备机，修复或更换零部件须满足国家及行业环保和质量标准。</w:t>
      </w:r>
      <w:r>
        <w:rPr>
          <w:rFonts w:hint="eastAsia" w:ascii="宋体" w:hAnsi="宋体" w:cs="宋体"/>
          <w:color w:val="000000"/>
          <w:sz w:val="24"/>
          <w:szCs w:val="24"/>
          <w:highlight w:val="none"/>
        </w:rPr>
        <w:t>质保期内中标</w:t>
      </w:r>
      <w:r>
        <w:rPr>
          <w:rFonts w:hint="eastAsia" w:ascii="宋体" w:hAnsi="宋体" w:cs="宋体"/>
          <w:color w:val="000000"/>
          <w:sz w:val="24"/>
          <w:szCs w:val="24"/>
          <w:highlight w:val="none"/>
          <w:lang w:val="en-US" w:eastAsia="zh-CN"/>
        </w:rPr>
        <w:t>供应</w:t>
      </w:r>
      <w:r>
        <w:rPr>
          <w:rFonts w:hint="eastAsia" w:ascii="宋体" w:hAnsi="宋体" w:cs="宋体"/>
          <w:color w:val="000000"/>
          <w:sz w:val="24"/>
          <w:szCs w:val="24"/>
          <w:highlight w:val="none"/>
        </w:rPr>
        <w:t>商须每</w:t>
      </w:r>
      <w:r>
        <w:rPr>
          <w:rFonts w:hint="eastAsia" w:ascii="宋体" w:hAnsi="宋体" w:cs="宋体"/>
          <w:color w:val="000000"/>
          <w:sz w:val="24"/>
          <w:szCs w:val="24"/>
          <w:highlight w:val="none"/>
          <w:lang w:val="en-US" w:eastAsia="zh-CN"/>
        </w:rPr>
        <w:t>年</w:t>
      </w:r>
      <w:r>
        <w:rPr>
          <w:rFonts w:hint="eastAsia" w:ascii="宋体" w:hAnsi="宋体" w:cs="宋体"/>
          <w:color w:val="000000"/>
          <w:sz w:val="24"/>
          <w:szCs w:val="24"/>
          <w:highlight w:val="none"/>
        </w:rPr>
        <w:t>进行整体免费维护一次。</w:t>
      </w:r>
    </w:p>
    <w:p w14:paraId="327ACED3">
      <w:pPr>
        <w:ind w:firstLine="480"/>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质保期外，供应商提供终生服务，在货物的设计使用寿命周期内，供应商能保证采购人更换到原厂正宗的备件材料，确保产品的正常使用。 </w:t>
      </w:r>
    </w:p>
    <w:p w14:paraId="43346BB4">
      <w:pPr>
        <w:ind w:firstLine="480"/>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④</w:t>
      </w:r>
      <w:r>
        <w:rPr>
          <w:rFonts w:hint="eastAsia" w:ascii="宋体" w:hAnsi="宋体" w:cs="宋体"/>
          <w:color w:val="000000"/>
          <w:sz w:val="24"/>
          <w:szCs w:val="24"/>
        </w:rPr>
        <w:fldChar w:fldCharType="end"/>
      </w:r>
      <w:r>
        <w:rPr>
          <w:rFonts w:hint="eastAsia" w:ascii="宋体" w:hAnsi="宋体" w:cs="宋体"/>
          <w:color w:val="000000"/>
          <w:sz w:val="24"/>
          <w:szCs w:val="24"/>
        </w:rPr>
        <w:t>质保期内维修（人为因素除外）费用包含在投标总价中，质保期外提供不高于市场价格的终身维护。中标后提供质保期外配件价格明细表。</w:t>
      </w:r>
    </w:p>
    <w:p w14:paraId="525C5C34">
      <w:pPr>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3.付款条件</w:t>
      </w:r>
    </w:p>
    <w:p w14:paraId="668C275B">
      <w:pPr>
        <w:spacing w:line="264" w:lineRule="auto"/>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（1）合同签订生效后，支付合同总价款的30%作为预付款；</w:t>
      </w:r>
    </w:p>
    <w:p w14:paraId="26E22B41">
      <w:pPr>
        <w:spacing w:line="264" w:lineRule="auto"/>
        <w:rPr>
          <w:rFonts w:hint="eastAsia" w:ascii="宋体" w:hAnsi="宋体" w:eastAsia="宋体" w:cs="Courier New"/>
          <w:color w:val="000000"/>
          <w:sz w:val="24"/>
          <w:szCs w:val="24"/>
          <w:highlight w:val="none"/>
          <w:lang w:eastAsia="zh-CN"/>
        </w:rPr>
      </w:pPr>
      <w:r>
        <w:rPr>
          <w:rFonts w:hint="default" w:ascii="宋体" w:hAnsi="宋体" w:eastAsia="宋体" w:cs="Courier New"/>
          <w:color w:val="000000"/>
          <w:sz w:val="24"/>
          <w:szCs w:val="24"/>
          <w:highlight w:val="none"/>
        </w:rPr>
        <w:t>（2）</w:t>
      </w:r>
      <w:r>
        <w:rPr>
          <w:rFonts w:hint="eastAsia" w:ascii="宋体" w:hAnsi="宋体" w:eastAsia="宋体" w:cs="Courier New"/>
          <w:color w:val="000000"/>
          <w:sz w:val="24"/>
          <w:szCs w:val="24"/>
          <w:highlight w:val="none"/>
          <w:lang w:eastAsia="zh-CN"/>
        </w:rPr>
        <w:t>待设备全部安装</w:t>
      </w:r>
      <w:r>
        <w:rPr>
          <w:rFonts w:hint="eastAsia" w:ascii="宋体" w:hAnsi="宋体" w:eastAsia="宋体" w:cs="Courier New"/>
          <w:color w:val="000000"/>
          <w:sz w:val="24"/>
          <w:szCs w:val="24"/>
          <w:highlight w:val="none"/>
          <w:lang w:val="en-US" w:eastAsia="zh-CN"/>
        </w:rPr>
        <w:t>并调试</w:t>
      </w:r>
      <w:r>
        <w:rPr>
          <w:rFonts w:hint="eastAsia" w:ascii="宋体" w:hAnsi="宋体" w:cs="Courier New"/>
          <w:color w:val="000000"/>
          <w:sz w:val="24"/>
          <w:szCs w:val="24"/>
          <w:highlight w:val="none"/>
          <w:lang w:val="en-US" w:eastAsia="zh-CN"/>
        </w:rPr>
        <w:t>完成并提供功能项测试报告，经甲方确认后</w:t>
      </w:r>
      <w:r>
        <w:rPr>
          <w:rFonts w:hint="eastAsia" w:ascii="宋体" w:hAnsi="宋体" w:eastAsia="宋体" w:cs="Courier New"/>
          <w:color w:val="000000"/>
          <w:sz w:val="24"/>
          <w:szCs w:val="24"/>
          <w:highlight w:val="none"/>
          <w:lang w:eastAsia="zh-CN"/>
        </w:rPr>
        <w:t>支付合同总价款的</w:t>
      </w:r>
      <w:r>
        <w:rPr>
          <w:rFonts w:hint="eastAsia" w:ascii="宋体" w:hAnsi="宋体" w:cs="Courier New"/>
          <w:color w:val="000000"/>
          <w:sz w:val="24"/>
          <w:szCs w:val="24"/>
          <w:highlight w:val="none"/>
          <w:lang w:val="en-US" w:eastAsia="zh-CN"/>
        </w:rPr>
        <w:t>40</w:t>
      </w:r>
      <w:r>
        <w:rPr>
          <w:rFonts w:hint="eastAsia" w:ascii="宋体" w:hAnsi="宋体" w:eastAsia="宋体" w:cs="Courier New"/>
          <w:color w:val="000000"/>
          <w:sz w:val="24"/>
          <w:szCs w:val="24"/>
          <w:highlight w:val="none"/>
          <w:lang w:eastAsia="zh-CN"/>
        </w:rPr>
        <w:t>%；</w:t>
      </w:r>
    </w:p>
    <w:p w14:paraId="3B80E313">
      <w:pPr>
        <w:spacing w:line="264" w:lineRule="auto"/>
        <w:rPr>
          <w:rFonts w:hint="default"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3</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整体运行满一年后支付项目剩余30%。</w:t>
      </w:r>
    </w:p>
    <w:p w14:paraId="0D9B282F">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4.</w:t>
      </w:r>
      <w:r>
        <w:rPr>
          <w:rFonts w:ascii="宋体" w:hAnsi="宋体" w:cs="宋体"/>
          <w:color w:val="000000"/>
          <w:sz w:val="24"/>
          <w:szCs w:val="24"/>
          <w:highlight w:val="none"/>
        </w:rPr>
        <w:t>交付时间及地点</w:t>
      </w:r>
    </w:p>
    <w:p w14:paraId="45546B5E">
      <w:pPr>
        <w:ind w:firstLine="480"/>
        <w:rPr>
          <w:rFonts w:ascii="宋体" w:hAnsi="宋体" w:cs="宋体"/>
          <w:color w:val="000000"/>
          <w:sz w:val="24"/>
          <w:szCs w:val="24"/>
        </w:rPr>
      </w:pPr>
      <w:r>
        <w:rPr>
          <w:rFonts w:ascii="宋体" w:hAnsi="宋体" w:cs="宋体"/>
          <w:color w:val="000000"/>
          <w:sz w:val="24"/>
          <w:szCs w:val="24"/>
          <w:highlight w:val="none"/>
        </w:rPr>
        <w:t>（1）</w:t>
      </w:r>
      <w:bookmarkStart w:id="184" w:name="OLE_LINK9"/>
      <w:r>
        <w:rPr>
          <w:rFonts w:ascii="宋体" w:hAnsi="宋体" w:cs="宋体"/>
          <w:color w:val="000000"/>
          <w:sz w:val="24"/>
          <w:szCs w:val="24"/>
          <w:highlight w:val="none"/>
        </w:rPr>
        <w:t>交付时间：合同签订后</w:t>
      </w:r>
      <w:r>
        <w:rPr>
          <w:rFonts w:hint="eastAsia" w:ascii="宋体" w:hAnsi="宋体" w:cs="宋体"/>
          <w:color w:val="000000"/>
          <w:sz w:val="24"/>
          <w:szCs w:val="24"/>
          <w:highlight w:val="none"/>
          <w:lang w:val="en-US" w:eastAsia="zh-CN"/>
        </w:rPr>
        <w:t>60个</w:t>
      </w:r>
      <w:r>
        <w:rPr>
          <w:rFonts w:hint="eastAsia" w:ascii="宋体" w:hAnsi="宋体"/>
          <w:color w:val="auto"/>
          <w:sz w:val="24"/>
          <w:szCs w:val="24"/>
          <w:highlight w:val="none"/>
          <w:lang w:val="en-US" w:eastAsia="zh-CN"/>
        </w:rPr>
        <w:t>日历日</w:t>
      </w:r>
      <w:r>
        <w:rPr>
          <w:rFonts w:ascii="宋体" w:hAnsi="宋体" w:cs="宋体"/>
          <w:color w:val="000000"/>
          <w:sz w:val="24"/>
          <w:szCs w:val="24"/>
          <w:highlight w:val="none"/>
        </w:rPr>
        <w:t>内交付并完成安装调试及验收等相关工作</w:t>
      </w:r>
      <w:r>
        <w:rPr>
          <w:rFonts w:hint="eastAsia" w:ascii="宋体" w:hAnsi="宋体" w:cs="宋体"/>
          <w:color w:val="000000"/>
          <w:sz w:val="24"/>
          <w:szCs w:val="24"/>
          <w:highlight w:val="none"/>
        </w:rPr>
        <w:t>。</w:t>
      </w:r>
      <w:bookmarkEnd w:id="184"/>
    </w:p>
    <w:p w14:paraId="4A62E95B">
      <w:pPr>
        <w:ind w:firstLine="480"/>
        <w:rPr>
          <w:rFonts w:hint="eastAsia" w:ascii="宋体" w:hAnsi="宋体" w:cs="宋体"/>
          <w:bCs/>
          <w:color w:val="000000"/>
          <w:sz w:val="24"/>
          <w:szCs w:val="24"/>
        </w:rPr>
      </w:pPr>
      <w:r>
        <w:rPr>
          <w:rFonts w:ascii="宋体" w:hAnsi="宋体" w:cs="宋体"/>
          <w:color w:val="000000"/>
          <w:sz w:val="24"/>
          <w:szCs w:val="24"/>
        </w:rPr>
        <w:t>（2）交付地点：采购人指定地点</w:t>
      </w:r>
      <w:r>
        <w:rPr>
          <w:rFonts w:hint="eastAsia" w:ascii="宋体" w:hAnsi="宋体" w:cs="宋体"/>
          <w:color w:val="000000"/>
          <w:sz w:val="24"/>
          <w:szCs w:val="24"/>
        </w:rPr>
        <w:t>，</w:t>
      </w:r>
      <w:r>
        <w:rPr>
          <w:rFonts w:hint="eastAsia" w:ascii="宋体" w:hAnsi="宋体" w:cs="宋体"/>
          <w:bCs/>
          <w:color w:val="000000"/>
          <w:sz w:val="24"/>
          <w:szCs w:val="24"/>
        </w:rPr>
        <w:t>由供应商负责办理运输和装卸等，费用由供应商负责，由采购人组织验收，检验不合格或不符合质量要求，供应商除无条件退货、返工外，还应承担采购人的一切损失。</w:t>
      </w:r>
    </w:p>
    <w:p w14:paraId="5CBDB7BF">
      <w:pPr>
        <w:ind w:firstLine="480"/>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5.违约条款</w:t>
      </w:r>
    </w:p>
    <w:p w14:paraId="30003B17">
      <w:pPr>
        <w:ind w:firstLine="480"/>
        <w:rPr>
          <w:rFonts w:hint="default"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乙方逾期提供服务的，应按逾期提供服务合同总额每日 </w:t>
      </w:r>
      <w:r>
        <w:rPr>
          <w:rFonts w:hint="eastAsia" w:ascii="宋体" w:hAnsi="宋体" w:cs="宋体"/>
          <w:bCs/>
          <w:color w:val="000000"/>
          <w:sz w:val="24"/>
          <w:szCs w:val="24"/>
          <w:u w:val="single"/>
          <w:lang w:val="en-US" w:eastAsia="zh-CN"/>
        </w:rPr>
        <w:t xml:space="preserve">5‰ </w:t>
      </w:r>
      <w:r>
        <w:rPr>
          <w:rFonts w:hint="eastAsia" w:ascii="宋体" w:hAnsi="宋体" w:cs="宋体"/>
          <w:bCs/>
          <w:color w:val="000000"/>
          <w:sz w:val="24"/>
          <w:szCs w:val="24"/>
          <w:lang w:val="en-US" w:eastAsia="zh-CN"/>
        </w:rPr>
        <w:t xml:space="preserve">向甲方支付违约金，由甲方从待付合同款中扣除。逾期不能提供服务的，甲方有权立即单方面解除本合同，乙方应在合同解除后5个工作日内向甲方全额返还已支付款项，并支付合同总额 </w:t>
      </w:r>
      <w:r>
        <w:rPr>
          <w:rFonts w:hint="eastAsia" w:ascii="宋体" w:hAnsi="宋体" w:cs="宋体"/>
          <w:bCs/>
          <w:color w:val="000000"/>
          <w:sz w:val="24"/>
          <w:szCs w:val="24"/>
          <w:u w:val="single"/>
          <w:lang w:val="en-US" w:eastAsia="zh-CN"/>
        </w:rPr>
        <w:t>30%</w:t>
      </w:r>
      <w:r>
        <w:rPr>
          <w:rFonts w:hint="eastAsia" w:ascii="宋体" w:hAnsi="宋体" w:cs="宋体"/>
          <w:bCs/>
          <w:color w:val="000000"/>
          <w:sz w:val="24"/>
          <w:szCs w:val="24"/>
          <w:lang w:val="en-US" w:eastAsia="zh-CN"/>
        </w:rPr>
        <w:t xml:space="preserve"> 的违约金。</w:t>
      </w:r>
    </w:p>
    <w:p w14:paraId="54130D3F">
      <w:pPr>
        <w:ind w:firstLine="480"/>
        <w:rPr>
          <w:rFonts w:ascii="宋体" w:hAnsi="宋体" w:cs="宋体"/>
          <w:bCs/>
          <w:color w:val="000000"/>
          <w:sz w:val="24"/>
          <w:szCs w:val="24"/>
        </w:rPr>
      </w:pPr>
      <w:bookmarkStart w:id="185" w:name="OLE_LINK4"/>
      <w:r>
        <w:rPr>
          <w:rFonts w:hint="eastAsia" w:ascii="宋体" w:hAnsi="宋体" w:cs="宋体"/>
          <w:bCs/>
          <w:color w:val="000000"/>
          <w:sz w:val="24"/>
          <w:szCs w:val="24"/>
        </w:rPr>
        <w:t>6.其他要求</w:t>
      </w:r>
    </w:p>
    <w:p w14:paraId="73DF21F4">
      <w:pPr>
        <w:ind w:firstLine="480"/>
        <w:rPr>
          <w:rFonts w:ascii="宋体" w:hAnsi="宋体" w:cs="宋体"/>
          <w:bCs/>
          <w:color w:val="000000"/>
          <w:sz w:val="24"/>
          <w:szCs w:val="24"/>
        </w:rPr>
      </w:pPr>
      <w:r>
        <w:rPr>
          <w:rFonts w:hint="eastAsia" w:ascii="宋体" w:hAnsi="宋体" w:cs="宋体"/>
          <w:bCs/>
          <w:color w:val="000000"/>
          <w:sz w:val="24"/>
          <w:szCs w:val="24"/>
        </w:rPr>
        <w:t>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p>
    <w:p w14:paraId="200374DE">
      <w:pPr>
        <w:ind w:firstLine="480"/>
        <w:rPr>
          <w:rFonts w:ascii="宋体" w:hAnsi="宋体" w:cs="宋体"/>
          <w:bCs/>
          <w:color w:val="000000"/>
          <w:sz w:val="24"/>
          <w:szCs w:val="24"/>
        </w:rPr>
      </w:pPr>
      <w:r>
        <w:rPr>
          <w:rFonts w:hint="eastAsia" w:ascii="宋体" w:hAnsi="宋体" w:cs="宋体"/>
          <w:bCs/>
          <w:color w:val="000000"/>
          <w:sz w:val="24"/>
          <w:szCs w:val="24"/>
        </w:rPr>
        <w:t>招标文件评标方法与评标标准中涉及的相关证明材料，应在投标文件中提供，并由评审委员会在评审现场予以确认，否则无法得到相应分值。</w:t>
      </w:r>
    </w:p>
    <w:bookmarkEnd w:id="185"/>
    <w:p w14:paraId="200E7A02">
      <w:pPr>
        <w:keepNext w:val="0"/>
        <w:keepLines w:val="0"/>
        <w:pageBreakBefore w:val="0"/>
        <w:widowControl w:val="0"/>
        <w:spacing w:line="380" w:lineRule="exact"/>
        <w:ind w:firstLine="480"/>
        <w:rPr>
          <w:rFonts w:hint="eastAsia" w:ascii="宋体" w:hAnsi="宋体" w:eastAsia="宋体" w:cs="宋体"/>
          <w:sz w:val="24"/>
          <w:szCs w:val="24"/>
          <w:highlight w:val="none"/>
        </w:rPr>
      </w:pPr>
    </w:p>
    <w:p w14:paraId="7DEFE291">
      <w:pPr>
        <w:keepNext w:val="0"/>
        <w:keepLines w:val="0"/>
        <w:pageBreakBefore w:val="0"/>
        <w:widowControl w:val="0"/>
        <w:spacing w:line="3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br w:type="page" w:clear="all"/>
      </w:r>
    </w:p>
    <w:p w14:paraId="683C1CEE">
      <w:pPr>
        <w:ind w:firstLine="48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第五章  评标方法与评标标准</w:t>
      </w:r>
    </w:p>
    <w:p w14:paraId="6016B6C7">
      <w:pPr>
        <w:rPr>
          <w:rFonts w:ascii="宋体" w:hAnsi="宋体" w:cs="宋体"/>
          <w:b/>
          <w:bCs/>
          <w:color w:val="000000"/>
          <w:sz w:val="24"/>
          <w:szCs w:val="24"/>
        </w:rPr>
      </w:pPr>
    </w:p>
    <w:p w14:paraId="4F7E11B3">
      <w:pPr>
        <w:ind w:firstLine="48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200C1340">
      <w:pPr>
        <w:ind w:firstLine="480"/>
        <w:rPr>
          <w:rFonts w:ascii="宋体" w:hAnsi="宋体" w:cs="宋体"/>
          <w:color w:val="000000"/>
          <w:sz w:val="24"/>
          <w:szCs w:val="24"/>
        </w:rPr>
      </w:pPr>
      <w:r>
        <w:rPr>
          <w:rFonts w:hint="eastAsia" w:ascii="宋体" w:hAnsi="宋体" w:cs="宋体"/>
          <w:color w:val="000000"/>
          <w:sz w:val="24"/>
          <w:szCs w:val="24"/>
        </w:rPr>
        <w:t>1.采用综合评分法，评标结果按评审后得分由高到低顺序排列。得分相同的，按投标报价由低到高顺序排列。得分且投标报价相同的，按“三、评标标准</w:t>
      </w:r>
      <w:r>
        <w:rPr>
          <w:rFonts w:hint="eastAsia" w:ascii="宋体" w:hAnsi="宋体" w:cs="宋体"/>
          <w:color w:val="auto"/>
          <w:sz w:val="24"/>
          <w:szCs w:val="24"/>
        </w:rPr>
        <w:t>中</w:t>
      </w:r>
      <w:r>
        <w:rPr>
          <w:rFonts w:hint="eastAsia" w:ascii="宋体" w:hAnsi="宋体"/>
          <w:color w:val="auto"/>
          <w:sz w:val="24"/>
          <w:szCs w:val="24"/>
        </w:rPr>
        <w:t>2.1-2.</w:t>
      </w:r>
      <w:r>
        <w:rPr>
          <w:rFonts w:hint="eastAsia" w:ascii="宋体" w:hAnsi="宋体"/>
          <w:color w:val="auto"/>
          <w:sz w:val="24"/>
          <w:szCs w:val="24"/>
          <w:lang w:val="en-US" w:eastAsia="zh-CN"/>
        </w:rPr>
        <w:t>3</w:t>
      </w:r>
      <w:r>
        <w:rPr>
          <w:rFonts w:hint="eastAsia" w:ascii="宋体" w:hAnsi="宋体"/>
          <w:color w:val="auto"/>
          <w:sz w:val="24"/>
          <w:szCs w:val="24"/>
        </w:rPr>
        <w:t>项</w:t>
      </w:r>
      <w:r>
        <w:rPr>
          <w:rFonts w:hint="eastAsia" w:ascii="宋体" w:hAnsi="宋体" w:cs="宋体"/>
          <w:color w:val="000000"/>
          <w:sz w:val="24"/>
          <w:szCs w:val="24"/>
        </w:rPr>
        <w:t>”得分由高到低顺序排列。在投标文件满足招标文件全部实质性要求的供应商中，按照评审得分由高到低推荐</w:t>
      </w:r>
      <w:r>
        <w:rPr>
          <w:rFonts w:hint="eastAsia" w:ascii="宋体" w:hAnsi="宋体"/>
          <w:color w:val="000000"/>
          <w:sz w:val="24"/>
          <w:szCs w:val="24"/>
        </w:rPr>
        <w:t>3名</w:t>
      </w:r>
      <w:r>
        <w:rPr>
          <w:rFonts w:hint="eastAsia" w:ascii="宋体" w:hAnsi="宋体" w:cs="宋体"/>
          <w:color w:val="000000"/>
          <w:sz w:val="24"/>
          <w:szCs w:val="24"/>
        </w:rPr>
        <w:t>中标候选人。</w:t>
      </w:r>
    </w:p>
    <w:p w14:paraId="65CF89D9">
      <w:pPr>
        <w:ind w:firstLine="480"/>
        <w:rPr>
          <w:rFonts w:ascii="宋体" w:hAnsi="宋体" w:cs="宋体"/>
          <w:color w:val="000000"/>
          <w:sz w:val="24"/>
          <w:szCs w:val="24"/>
        </w:rPr>
      </w:pPr>
      <w:r>
        <w:rPr>
          <w:rFonts w:hint="eastAsia" w:ascii="宋体" w:hAnsi="宋体" w:cs="宋体"/>
          <w:color w:val="000000"/>
          <w:sz w:val="24"/>
          <w:szCs w:val="24"/>
        </w:rPr>
        <w:t>2.核心产品评审。多家供应商提供的核心产品品牌相同的，按一家供应商计算，评审后得分最高的同品牌供应商获得中标人推荐资格。</w:t>
      </w:r>
    </w:p>
    <w:p w14:paraId="39ACBA38">
      <w:pPr>
        <w:ind w:firstLine="480"/>
        <w:rPr>
          <w:rFonts w:ascii="黑体" w:hAnsi="黑体" w:eastAsia="黑体" w:cs="黑体"/>
          <w:sz w:val="24"/>
          <w:szCs w:val="24"/>
          <w:highlight w:val="none"/>
        </w:rPr>
      </w:pPr>
      <w:r>
        <w:rPr>
          <w:rFonts w:hint="eastAsia" w:ascii="黑体" w:hAnsi="黑体" w:eastAsia="黑体" w:cs="黑体"/>
          <w:sz w:val="24"/>
          <w:szCs w:val="24"/>
          <w:highlight w:val="none"/>
        </w:rPr>
        <w:t>二、小微企业价格扣除</w:t>
      </w:r>
    </w:p>
    <w:p w14:paraId="3AAF0B19">
      <w:pPr>
        <w:ind w:firstLine="480"/>
        <w:rPr>
          <w:rFonts w:ascii="宋体" w:hAnsi="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zh-CN"/>
        </w:rPr>
        <w:t>本项目全部货物制造商为小微企业的，</w:t>
      </w:r>
      <w:r>
        <w:rPr>
          <w:rFonts w:hint="eastAsia" w:ascii="宋体" w:hAnsi="宋体" w:cs="宋体"/>
          <w:sz w:val="24"/>
          <w:szCs w:val="24"/>
          <w:highlight w:val="none"/>
        </w:rPr>
        <w:t>对报价给予</w:t>
      </w:r>
      <w:r>
        <w:rPr>
          <w:rFonts w:hint="eastAsia" w:ascii="宋体" w:hAnsi="宋体"/>
          <w:b/>
          <w:bCs/>
          <w:sz w:val="24"/>
          <w:szCs w:val="24"/>
          <w:highlight w:val="none"/>
          <w:u w:val="single"/>
        </w:rPr>
        <w:t>1</w:t>
      </w:r>
      <w:r>
        <w:rPr>
          <w:rFonts w:hint="eastAsia" w:ascii="宋体" w:hAnsi="宋体"/>
          <w:b/>
          <w:bCs/>
          <w:sz w:val="24"/>
          <w:szCs w:val="24"/>
          <w:highlight w:val="none"/>
          <w:u w:val="single"/>
          <w:lang w:val="en-US" w:eastAsia="zh-CN"/>
        </w:rPr>
        <w:t>0</w:t>
      </w:r>
      <w:r>
        <w:rPr>
          <w:rFonts w:hint="eastAsia" w:ascii="宋体" w:hAnsi="宋体"/>
          <w:b/>
          <w:bCs/>
          <w:sz w:val="24"/>
          <w:szCs w:val="24"/>
          <w:highlight w:val="none"/>
          <w:u w:val="single"/>
          <w:lang w:val="zh-CN"/>
        </w:rPr>
        <w:t>%</w:t>
      </w:r>
      <w:r>
        <w:rPr>
          <w:rFonts w:hint="eastAsia" w:ascii="宋体" w:hAnsi="宋体" w:cs="宋体"/>
          <w:sz w:val="24"/>
          <w:szCs w:val="24"/>
          <w:highlight w:val="none"/>
        </w:rPr>
        <w:t>的扣除，用扣除后的价格参与评审。</w:t>
      </w:r>
    </w:p>
    <w:p w14:paraId="2E60D9DD">
      <w:pPr>
        <w:ind w:firstLine="480"/>
        <w:rPr>
          <w:rFonts w:ascii="宋体" w:hAnsi="宋体" w:cs="宋体"/>
          <w:sz w:val="24"/>
          <w:szCs w:val="24"/>
          <w:highlight w:val="none"/>
        </w:rPr>
      </w:pPr>
      <w:r>
        <w:rPr>
          <w:rFonts w:hint="eastAsia" w:ascii="宋体" w:hAnsi="宋体" w:cs="宋体"/>
          <w:sz w:val="24"/>
          <w:szCs w:val="24"/>
          <w:highlight w:val="none"/>
        </w:rPr>
        <w:t>2.残疾人福利性单位视同小型、微型企业，给予</w:t>
      </w:r>
      <w:r>
        <w:rPr>
          <w:rFonts w:hint="eastAsia" w:ascii="宋体" w:hAnsi="宋体"/>
          <w:sz w:val="24"/>
          <w:szCs w:val="24"/>
          <w:highlight w:val="none"/>
        </w:rPr>
        <w:t>与小微企业相同</w:t>
      </w:r>
      <w:r>
        <w:rPr>
          <w:rFonts w:hint="eastAsia" w:ascii="宋体" w:hAnsi="宋体" w:cs="宋体"/>
          <w:sz w:val="24"/>
          <w:szCs w:val="24"/>
          <w:highlight w:val="none"/>
        </w:rPr>
        <w:t>的价格扣除，用扣除后的价格参与评审；监狱和戒毒企业视同小型、微型企业，给予</w:t>
      </w:r>
      <w:r>
        <w:rPr>
          <w:rFonts w:hint="eastAsia" w:ascii="宋体" w:hAnsi="宋体"/>
          <w:sz w:val="24"/>
          <w:szCs w:val="24"/>
          <w:highlight w:val="none"/>
        </w:rPr>
        <w:t>与小微企业相同</w:t>
      </w:r>
      <w:r>
        <w:rPr>
          <w:rFonts w:hint="eastAsia" w:ascii="宋体" w:hAnsi="宋体" w:cs="宋体"/>
          <w:sz w:val="24"/>
          <w:szCs w:val="24"/>
          <w:highlight w:val="none"/>
        </w:rPr>
        <w:t>的价格扣除，用扣除后的价格参与评审。残疾人福利单位、监狱企业属于小型、微型企业的，不重复享受价格扣除。</w:t>
      </w:r>
    </w:p>
    <w:p w14:paraId="5A701093">
      <w:pPr>
        <w:ind w:firstLine="480"/>
        <w:rPr>
          <w:rFonts w:hint="eastAsia" w:ascii="黑体" w:hAnsi="黑体" w:eastAsia="黑体" w:cs="黑体"/>
          <w:color w:val="000000"/>
          <w:sz w:val="24"/>
          <w:szCs w:val="24"/>
        </w:rPr>
      </w:pPr>
      <w:r>
        <w:rPr>
          <w:rFonts w:hint="eastAsia" w:ascii="宋体" w:hAnsi="宋体" w:cs="宋体"/>
          <w:bCs/>
          <w:sz w:val="24"/>
          <w:szCs w:val="24"/>
          <w:highlight w:val="none"/>
        </w:rPr>
        <w:t>3.上述价格扣除政策仅适用于“非专门面向中小企业采购项目”</w:t>
      </w:r>
      <w:r>
        <w:rPr>
          <w:rFonts w:hint="eastAsia" w:ascii="宋体" w:hAnsi="宋体" w:cs="宋体"/>
          <w:sz w:val="24"/>
          <w:szCs w:val="24"/>
          <w:highlight w:val="none"/>
        </w:rPr>
        <w:t>。</w:t>
      </w:r>
    </w:p>
    <w:p w14:paraId="5FCA5AAF">
      <w:pPr>
        <w:ind w:firstLine="480"/>
        <w:rPr>
          <w:rFonts w:ascii="黑体" w:hAnsi="黑体" w:eastAsia="黑体" w:cs="黑体"/>
          <w:color w:val="000000"/>
          <w:sz w:val="24"/>
          <w:szCs w:val="24"/>
        </w:rPr>
      </w:pPr>
      <w:r>
        <w:rPr>
          <w:rFonts w:hint="eastAsia" w:ascii="黑体" w:hAnsi="黑体" w:eastAsia="黑体" w:cs="黑体"/>
          <w:color w:val="000000"/>
          <w:sz w:val="24"/>
          <w:szCs w:val="24"/>
          <w:lang w:val="en-US" w:eastAsia="zh-CN"/>
        </w:rPr>
        <w:t>三</w:t>
      </w:r>
      <w:r>
        <w:rPr>
          <w:rFonts w:hint="eastAsia" w:ascii="黑体" w:hAnsi="黑体" w:eastAsia="黑体" w:cs="黑体"/>
          <w:color w:val="000000"/>
          <w:sz w:val="24"/>
          <w:szCs w:val="24"/>
        </w:rPr>
        <w:t>、评标标准</w:t>
      </w:r>
    </w:p>
    <w:tbl>
      <w:tblPr>
        <w:tblStyle w:val="38"/>
        <w:tblW w:w="104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2"/>
        <w:gridCol w:w="1294"/>
        <w:gridCol w:w="6913"/>
        <w:gridCol w:w="712"/>
        <w:gridCol w:w="757"/>
      </w:tblGrid>
      <w:tr w14:paraId="4CACC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blHeader/>
          <w:jc w:val="center"/>
        </w:trPr>
        <w:tc>
          <w:tcPr>
            <w:tcW w:w="762" w:type="dxa"/>
            <w:noWrap/>
            <w:vAlign w:val="center"/>
          </w:tcPr>
          <w:p w14:paraId="2157DCB9">
            <w:pPr>
              <w:keepNext w:val="0"/>
              <w:keepLines w:val="0"/>
              <w:widowControl/>
              <w:suppressLineNumbers w:val="0"/>
              <w:spacing w:before="0" w:beforeAutospacing="0" w:after="0" w:afterAutospacing="0"/>
              <w:ind w:left="0" w:right="0"/>
              <w:jc w:val="center"/>
              <w:rPr>
                <w:rFonts w:hint="eastAsia" w:ascii="宋体" w:hAnsi="宋体" w:cs="宋体"/>
                <w:b/>
                <w:bCs/>
                <w:spacing w:val="-2"/>
              </w:rPr>
            </w:pPr>
            <w:r>
              <w:rPr>
                <w:rFonts w:hint="eastAsia" w:ascii="宋体" w:hAnsi="宋体" w:cs="宋体"/>
                <w:b/>
                <w:bCs/>
                <w:color w:val="000000"/>
                <w:sz w:val="20"/>
                <w:szCs w:val="20"/>
              </w:rPr>
              <w:t>序号</w:t>
            </w:r>
          </w:p>
        </w:tc>
        <w:tc>
          <w:tcPr>
            <w:tcW w:w="1294" w:type="dxa"/>
            <w:noWrap/>
            <w:vAlign w:val="center"/>
          </w:tcPr>
          <w:p w14:paraId="07AEEA68">
            <w:pPr>
              <w:keepNext w:val="0"/>
              <w:keepLines w:val="0"/>
              <w:widowControl/>
              <w:suppressLineNumbers w:val="0"/>
              <w:spacing w:before="0" w:beforeAutospacing="0" w:after="0" w:afterAutospacing="0"/>
              <w:ind w:left="0" w:right="0"/>
              <w:jc w:val="center"/>
              <w:rPr>
                <w:rFonts w:hint="eastAsia" w:ascii="宋体" w:hAnsi="宋体" w:cs="宋体"/>
                <w:b/>
                <w:bCs/>
                <w:spacing w:val="-2"/>
              </w:rPr>
            </w:pPr>
            <w:r>
              <w:rPr>
                <w:rFonts w:hint="eastAsia" w:ascii="宋体" w:hAnsi="宋体" w:cs="宋体"/>
                <w:b/>
                <w:bCs/>
                <w:color w:val="000000"/>
                <w:sz w:val="20"/>
                <w:szCs w:val="20"/>
              </w:rPr>
              <w:t>评审因素</w:t>
            </w:r>
          </w:p>
        </w:tc>
        <w:tc>
          <w:tcPr>
            <w:tcW w:w="6913" w:type="dxa"/>
            <w:noWrap/>
            <w:vAlign w:val="center"/>
          </w:tcPr>
          <w:p w14:paraId="667901B4">
            <w:pPr>
              <w:keepNext w:val="0"/>
              <w:keepLines w:val="0"/>
              <w:widowControl/>
              <w:suppressLineNumbers w:val="0"/>
              <w:spacing w:before="0" w:beforeAutospacing="0" w:after="0" w:afterAutospacing="0"/>
              <w:ind w:left="0" w:right="0"/>
              <w:jc w:val="center"/>
              <w:rPr>
                <w:rFonts w:hint="eastAsia" w:ascii="宋体" w:hAnsi="宋体" w:cs="宋体"/>
                <w:b/>
                <w:bCs/>
                <w:spacing w:val="-2"/>
              </w:rPr>
            </w:pPr>
            <w:r>
              <w:rPr>
                <w:rFonts w:hint="eastAsia" w:ascii="宋体" w:hAnsi="宋体" w:cs="宋体"/>
                <w:b/>
                <w:bCs/>
                <w:color w:val="000000"/>
                <w:sz w:val="20"/>
                <w:szCs w:val="20"/>
              </w:rPr>
              <w:t>评审细则</w:t>
            </w:r>
          </w:p>
        </w:tc>
        <w:tc>
          <w:tcPr>
            <w:tcW w:w="712" w:type="dxa"/>
            <w:noWrap/>
            <w:vAlign w:val="center"/>
          </w:tcPr>
          <w:p w14:paraId="236E5452">
            <w:pPr>
              <w:keepNext w:val="0"/>
              <w:keepLines w:val="0"/>
              <w:widowControl/>
              <w:suppressLineNumbers w:val="0"/>
              <w:spacing w:before="0" w:beforeAutospacing="0" w:after="0" w:afterAutospacing="0"/>
              <w:ind w:left="0" w:right="0"/>
              <w:jc w:val="center"/>
              <w:rPr>
                <w:rFonts w:hint="eastAsia" w:ascii="宋体" w:hAnsi="宋体" w:cs="宋体"/>
                <w:b/>
                <w:bCs/>
                <w:spacing w:val="-2"/>
              </w:rPr>
            </w:pPr>
            <w:r>
              <w:rPr>
                <w:rFonts w:hint="eastAsia" w:ascii="宋体" w:hAnsi="宋体" w:cs="宋体"/>
                <w:b/>
                <w:bCs/>
                <w:color w:val="000000"/>
                <w:sz w:val="20"/>
                <w:szCs w:val="20"/>
              </w:rPr>
              <w:t>分值</w:t>
            </w:r>
          </w:p>
        </w:tc>
        <w:tc>
          <w:tcPr>
            <w:tcW w:w="757" w:type="dxa"/>
            <w:noWrap/>
            <w:vAlign w:val="center"/>
          </w:tcPr>
          <w:p w14:paraId="147487B8">
            <w:pPr>
              <w:keepNext w:val="0"/>
              <w:keepLines w:val="0"/>
              <w:widowControl/>
              <w:suppressLineNumbers w:val="0"/>
              <w:spacing w:before="0" w:beforeAutospacing="0" w:after="0" w:afterAutospacing="0"/>
              <w:ind w:left="0" w:right="0"/>
              <w:jc w:val="center"/>
              <w:rPr>
                <w:rFonts w:hint="eastAsia" w:ascii="宋体" w:hAnsi="宋体" w:cs="宋体"/>
                <w:b/>
                <w:bCs/>
                <w:spacing w:val="-2"/>
              </w:rPr>
            </w:pPr>
            <w:r>
              <w:rPr>
                <w:rFonts w:hint="eastAsia" w:ascii="宋体" w:hAnsi="宋体" w:cs="宋体"/>
                <w:b/>
                <w:bCs/>
                <w:color w:val="000000"/>
                <w:sz w:val="20"/>
                <w:szCs w:val="20"/>
              </w:rPr>
              <w:t>类型</w:t>
            </w:r>
          </w:p>
        </w:tc>
      </w:tr>
      <w:tr w14:paraId="4A06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10438" w:type="dxa"/>
            <w:gridSpan w:val="5"/>
            <w:noWrap/>
            <w:vAlign w:val="center"/>
          </w:tcPr>
          <w:p w14:paraId="6915C38D">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b/>
                <w:bCs/>
                <w:color w:val="000000"/>
                <w:sz w:val="20"/>
                <w:szCs w:val="20"/>
              </w:rPr>
              <w:t>1.价格</w:t>
            </w:r>
          </w:p>
        </w:tc>
      </w:tr>
      <w:tr w14:paraId="4AE7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762" w:type="dxa"/>
            <w:noWrap/>
            <w:vAlign w:val="center"/>
          </w:tcPr>
          <w:p w14:paraId="531CA78F">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1.1</w:t>
            </w:r>
          </w:p>
        </w:tc>
        <w:tc>
          <w:tcPr>
            <w:tcW w:w="1294" w:type="dxa"/>
            <w:noWrap/>
            <w:vAlign w:val="center"/>
          </w:tcPr>
          <w:p w14:paraId="56EC6864">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价格分</w:t>
            </w:r>
          </w:p>
        </w:tc>
        <w:tc>
          <w:tcPr>
            <w:tcW w:w="6913" w:type="dxa"/>
            <w:noWrap/>
            <w:vAlign w:val="center"/>
          </w:tcPr>
          <w:p w14:paraId="5CD315D4">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color w:val="000000"/>
                <w:sz w:val="20"/>
                <w:szCs w:val="20"/>
              </w:rPr>
              <w:t>采用低价优先法计算，即满足招标文件要求且投标价格最低的投标报价为评标基准价，其价格分为满分。其他投标人的价格分统一按照下列公式计算：投标报价得分=(评标基准价/投标报价)*30。（小数点保留两位）</w:t>
            </w:r>
          </w:p>
        </w:tc>
        <w:tc>
          <w:tcPr>
            <w:tcW w:w="712" w:type="dxa"/>
            <w:noWrap/>
            <w:vAlign w:val="center"/>
          </w:tcPr>
          <w:p w14:paraId="192D0314">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30</w:t>
            </w:r>
          </w:p>
        </w:tc>
        <w:tc>
          <w:tcPr>
            <w:tcW w:w="757" w:type="dxa"/>
            <w:noWrap/>
            <w:vAlign w:val="center"/>
          </w:tcPr>
          <w:p w14:paraId="5CB987D4">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价格分</w:t>
            </w:r>
          </w:p>
        </w:tc>
      </w:tr>
      <w:tr w14:paraId="356D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jc w:val="center"/>
        </w:trPr>
        <w:tc>
          <w:tcPr>
            <w:tcW w:w="10438" w:type="dxa"/>
            <w:gridSpan w:val="5"/>
            <w:noWrap/>
            <w:vAlign w:val="center"/>
          </w:tcPr>
          <w:p w14:paraId="24CBD978">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b/>
                <w:bCs/>
                <w:color w:val="000000"/>
                <w:sz w:val="20"/>
                <w:szCs w:val="20"/>
              </w:rPr>
              <w:t>2.技术</w:t>
            </w:r>
          </w:p>
        </w:tc>
      </w:tr>
      <w:tr w14:paraId="47891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62" w:type="dxa"/>
            <w:noWrap/>
            <w:vAlign w:val="center"/>
          </w:tcPr>
          <w:p w14:paraId="339454B9">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2.1</w:t>
            </w:r>
          </w:p>
        </w:tc>
        <w:tc>
          <w:tcPr>
            <w:tcW w:w="1294" w:type="dxa"/>
            <w:noWrap/>
            <w:vAlign w:val="center"/>
          </w:tcPr>
          <w:p w14:paraId="29F70725">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产品功能、性能、配置要求</w:t>
            </w:r>
          </w:p>
        </w:tc>
        <w:tc>
          <w:tcPr>
            <w:tcW w:w="6913" w:type="dxa"/>
            <w:noWrap/>
            <w:vAlign w:val="top"/>
          </w:tcPr>
          <w:p w14:paraId="27EC7090">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产品技术参数全部满足招标要求的得满分，打★指标为必须满足项，如有负偏离将作为无效投标，</w:t>
            </w:r>
            <w:r>
              <w:rPr>
                <w:rFonts w:hint="eastAsia" w:eastAsia="仿宋"/>
                <w:kern w:val="2"/>
                <w:szCs w:val="21"/>
                <w:lang w:bidi="ar"/>
              </w:rPr>
              <w:t>▲</w:t>
            </w:r>
            <w:r>
              <w:rPr>
                <w:rFonts w:hint="eastAsia" w:ascii="宋体" w:hAnsi="宋体" w:cs="宋体"/>
                <w:color w:val="000000"/>
                <w:sz w:val="20"/>
                <w:szCs w:val="20"/>
              </w:rPr>
              <w:t>指标为重要指标有1项负偏离扣2分，其余指标有1项负偏离扣1分，扣完为止。严重负偏离影响设备性能的经半数以上评委认定，本项得零分。</w:t>
            </w:r>
          </w:p>
          <w:p w14:paraId="2E306D6F">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注：具体由评委根据投标人响应文件中《技术要求响应及偏离表》响应情况进行打分，未逐条应答者此项不得分；</w:t>
            </w:r>
            <w:r>
              <w:rPr>
                <w:rFonts w:hint="eastAsia" w:eastAsia="仿宋"/>
                <w:kern w:val="2"/>
                <w:szCs w:val="21"/>
                <w:lang w:bidi="ar"/>
              </w:rPr>
              <w:t>▲</w:t>
            </w:r>
            <w:r>
              <w:rPr>
                <w:rFonts w:hint="eastAsia" w:ascii="宋体" w:hAnsi="宋体" w:cs="宋体"/>
                <w:color w:val="000000"/>
                <w:sz w:val="20"/>
                <w:szCs w:val="20"/>
              </w:rPr>
              <w:t>项应提供相应证明材料，未按要求提供相应证明材料的不得分。</w:t>
            </w:r>
          </w:p>
        </w:tc>
        <w:tc>
          <w:tcPr>
            <w:tcW w:w="712" w:type="dxa"/>
            <w:noWrap/>
            <w:vAlign w:val="center"/>
          </w:tcPr>
          <w:p w14:paraId="5B149176">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20</w:t>
            </w:r>
          </w:p>
        </w:tc>
        <w:tc>
          <w:tcPr>
            <w:tcW w:w="757" w:type="dxa"/>
            <w:noWrap/>
            <w:vAlign w:val="center"/>
          </w:tcPr>
          <w:p w14:paraId="0A0F218B">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客观分</w:t>
            </w:r>
          </w:p>
        </w:tc>
      </w:tr>
      <w:tr w14:paraId="06D0C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62" w:type="dxa"/>
            <w:noWrap/>
            <w:vAlign w:val="center"/>
          </w:tcPr>
          <w:p w14:paraId="275654D2">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2.2</w:t>
            </w:r>
          </w:p>
        </w:tc>
        <w:tc>
          <w:tcPr>
            <w:tcW w:w="1294" w:type="dxa"/>
            <w:noWrap/>
            <w:vAlign w:val="center"/>
          </w:tcPr>
          <w:p w14:paraId="6E7D9090">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整体技术解决方案</w:t>
            </w:r>
          </w:p>
        </w:tc>
        <w:tc>
          <w:tcPr>
            <w:tcW w:w="6913" w:type="dxa"/>
            <w:noWrap/>
            <w:vAlign w:val="top"/>
          </w:tcPr>
          <w:p w14:paraId="4DA12D75">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评委根据投标人提供的整体技术解决方案（包括但不限于需求分析、架构规划、组网设计、设备链路配置、路由设置、业务承载以及可靠性保障，文字与网络拓扑图结合的形式展现项目建设全貌，细化系统配置等）进行评分：</w:t>
            </w:r>
          </w:p>
          <w:p w14:paraId="4C0ADD32">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（1）方案具体详细、完善、可操作性强得</w:t>
            </w:r>
            <w:r>
              <w:rPr>
                <w:rFonts w:hint="eastAsia" w:ascii="宋体" w:hAnsi="宋体" w:cs="宋体"/>
                <w:color w:val="000000"/>
                <w:sz w:val="20"/>
                <w:szCs w:val="20"/>
                <w:lang w:val="en-US" w:eastAsia="zh-CN"/>
              </w:rPr>
              <w:t>9</w:t>
            </w:r>
            <w:r>
              <w:rPr>
                <w:rFonts w:hint="eastAsia" w:ascii="宋体" w:hAnsi="宋体" w:cs="宋体"/>
                <w:color w:val="000000"/>
                <w:sz w:val="20"/>
                <w:szCs w:val="20"/>
              </w:rPr>
              <w:t>分；</w:t>
            </w:r>
          </w:p>
          <w:p w14:paraId="1C0DEA89">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（2）方案具体详细、完善、可操作性较强得</w:t>
            </w:r>
            <w:r>
              <w:rPr>
                <w:rFonts w:hint="eastAsia" w:ascii="宋体" w:hAnsi="宋体" w:cs="宋体"/>
                <w:color w:val="000000"/>
                <w:sz w:val="20"/>
                <w:szCs w:val="20"/>
                <w:lang w:val="en-US" w:eastAsia="zh-CN"/>
              </w:rPr>
              <w:t>6</w:t>
            </w:r>
            <w:r>
              <w:rPr>
                <w:rFonts w:hint="eastAsia" w:ascii="宋体" w:hAnsi="宋体" w:cs="宋体"/>
                <w:color w:val="000000"/>
                <w:sz w:val="20"/>
                <w:szCs w:val="20"/>
              </w:rPr>
              <w:t>分；</w:t>
            </w:r>
          </w:p>
          <w:p w14:paraId="7D09AFC1">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（3）方案不够具体详细、不够完善、可操作性一般得</w:t>
            </w:r>
            <w:r>
              <w:rPr>
                <w:rFonts w:hint="eastAsia" w:ascii="宋体" w:hAnsi="宋体" w:cs="宋体"/>
                <w:color w:val="000000"/>
                <w:sz w:val="20"/>
                <w:szCs w:val="20"/>
                <w:lang w:val="en-US" w:eastAsia="zh-CN"/>
              </w:rPr>
              <w:t>3</w:t>
            </w:r>
            <w:r>
              <w:rPr>
                <w:rFonts w:hint="eastAsia" w:ascii="宋体" w:hAnsi="宋体" w:cs="宋体"/>
                <w:color w:val="000000"/>
                <w:sz w:val="20"/>
                <w:szCs w:val="20"/>
              </w:rPr>
              <w:t>分；</w:t>
            </w:r>
          </w:p>
          <w:p w14:paraId="609BAFE0">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（4）无此项内容不得分。</w:t>
            </w:r>
          </w:p>
        </w:tc>
        <w:tc>
          <w:tcPr>
            <w:tcW w:w="712" w:type="dxa"/>
            <w:noWrap/>
            <w:vAlign w:val="center"/>
          </w:tcPr>
          <w:p w14:paraId="559D5334">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9</w:t>
            </w:r>
          </w:p>
        </w:tc>
        <w:tc>
          <w:tcPr>
            <w:tcW w:w="757" w:type="dxa"/>
            <w:noWrap/>
            <w:vAlign w:val="center"/>
          </w:tcPr>
          <w:p w14:paraId="0640FC62">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主观分</w:t>
            </w:r>
          </w:p>
        </w:tc>
      </w:tr>
      <w:tr w14:paraId="737BC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62" w:type="dxa"/>
            <w:noWrap/>
            <w:vAlign w:val="center"/>
          </w:tcPr>
          <w:p w14:paraId="7E053006">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2.3</w:t>
            </w:r>
          </w:p>
        </w:tc>
        <w:tc>
          <w:tcPr>
            <w:tcW w:w="1294" w:type="dxa"/>
            <w:noWrap/>
            <w:vAlign w:val="center"/>
          </w:tcPr>
          <w:p w14:paraId="48BA3F8C">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项目实施方案</w:t>
            </w:r>
          </w:p>
        </w:tc>
        <w:tc>
          <w:tcPr>
            <w:tcW w:w="6913" w:type="dxa"/>
            <w:noWrap/>
            <w:vAlign w:val="top"/>
          </w:tcPr>
          <w:p w14:paraId="3B9068C2">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评委根据投标人提供的项目实施方案（包括但不限于供货进度保证措施、质量保证措施、协调配合措施、安装调试方案等）进行评分：</w:t>
            </w:r>
          </w:p>
          <w:p w14:paraId="21BA5E8F">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（1）方案具体详细、完善、可操作性强得</w:t>
            </w:r>
            <w:r>
              <w:rPr>
                <w:rFonts w:hint="eastAsia" w:ascii="宋体" w:hAnsi="宋体" w:cs="宋体"/>
                <w:color w:val="000000"/>
                <w:sz w:val="20"/>
                <w:szCs w:val="20"/>
                <w:lang w:val="en-US" w:eastAsia="zh-CN"/>
              </w:rPr>
              <w:t>9</w:t>
            </w:r>
            <w:r>
              <w:rPr>
                <w:rFonts w:hint="eastAsia" w:ascii="宋体" w:hAnsi="宋体" w:cs="宋体"/>
                <w:color w:val="000000"/>
                <w:sz w:val="20"/>
                <w:szCs w:val="20"/>
              </w:rPr>
              <w:t>分；</w:t>
            </w:r>
          </w:p>
          <w:p w14:paraId="3BB84390">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（2）方案具体详细、完善、可操作性较强得</w:t>
            </w:r>
            <w:r>
              <w:rPr>
                <w:rFonts w:hint="eastAsia" w:ascii="宋体" w:hAnsi="宋体" w:cs="宋体"/>
                <w:color w:val="000000"/>
                <w:sz w:val="20"/>
                <w:szCs w:val="20"/>
                <w:lang w:val="en-US" w:eastAsia="zh-CN"/>
              </w:rPr>
              <w:t>6</w:t>
            </w:r>
            <w:r>
              <w:rPr>
                <w:rFonts w:hint="eastAsia" w:ascii="宋体" w:hAnsi="宋体" w:cs="宋体"/>
                <w:color w:val="000000"/>
                <w:sz w:val="20"/>
                <w:szCs w:val="20"/>
              </w:rPr>
              <w:t>分；</w:t>
            </w:r>
          </w:p>
          <w:p w14:paraId="7D98BD93">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（3）方案不够具体详细、不够完善、可操作性一般得</w:t>
            </w:r>
            <w:r>
              <w:rPr>
                <w:rFonts w:hint="eastAsia" w:ascii="宋体" w:hAnsi="宋体" w:cs="宋体"/>
                <w:color w:val="000000"/>
                <w:sz w:val="20"/>
                <w:szCs w:val="20"/>
                <w:lang w:val="en-US" w:eastAsia="zh-CN"/>
              </w:rPr>
              <w:t>3</w:t>
            </w:r>
            <w:r>
              <w:rPr>
                <w:rFonts w:hint="eastAsia" w:ascii="宋体" w:hAnsi="宋体" w:cs="宋体"/>
                <w:color w:val="000000"/>
                <w:sz w:val="20"/>
                <w:szCs w:val="20"/>
              </w:rPr>
              <w:t>分；</w:t>
            </w:r>
          </w:p>
          <w:p w14:paraId="2602692E">
            <w:pPr>
              <w:keepNext w:val="0"/>
              <w:keepLines w:val="0"/>
              <w:widowControl/>
              <w:suppressLineNumbers w:val="0"/>
              <w:spacing w:before="0" w:beforeAutospacing="0" w:after="0" w:afterAutospacing="0"/>
              <w:ind w:left="0" w:right="0"/>
            </w:pPr>
            <w:r>
              <w:rPr>
                <w:rFonts w:hint="eastAsia" w:ascii="宋体" w:hAnsi="宋体" w:cs="宋体"/>
                <w:color w:val="000000"/>
                <w:sz w:val="20"/>
                <w:szCs w:val="20"/>
              </w:rPr>
              <w:t>（4）无此项内容不得分。</w:t>
            </w:r>
          </w:p>
        </w:tc>
        <w:tc>
          <w:tcPr>
            <w:tcW w:w="712" w:type="dxa"/>
            <w:noWrap/>
            <w:vAlign w:val="center"/>
          </w:tcPr>
          <w:p w14:paraId="1618A7F0">
            <w:pPr>
              <w:keepNext w:val="0"/>
              <w:keepLines w:val="0"/>
              <w:widowControl/>
              <w:suppressLineNumbers w:val="0"/>
              <w:spacing w:before="0" w:beforeAutospacing="0" w:after="0" w:afterAutospacing="0"/>
              <w:ind w:left="0" w:right="0"/>
              <w:jc w:val="center"/>
              <w:rPr>
                <w:rFonts w:hint="eastAsia" w:ascii="宋体" w:hAnsi="宋体" w:eastAsia="宋体" w:cs="宋体"/>
                <w:lang w:eastAsia="zh-CN"/>
              </w:rPr>
            </w:pPr>
            <w:r>
              <w:rPr>
                <w:rFonts w:hint="eastAsia" w:ascii="宋体" w:hAnsi="宋体" w:cs="宋体"/>
                <w:color w:val="000000"/>
                <w:sz w:val="20"/>
                <w:szCs w:val="20"/>
                <w:lang w:val="en-US" w:eastAsia="zh-CN"/>
              </w:rPr>
              <w:t>9</w:t>
            </w:r>
          </w:p>
        </w:tc>
        <w:tc>
          <w:tcPr>
            <w:tcW w:w="757" w:type="dxa"/>
            <w:noWrap/>
            <w:vAlign w:val="center"/>
          </w:tcPr>
          <w:p w14:paraId="33BBE851">
            <w:pPr>
              <w:keepNext w:val="0"/>
              <w:keepLines w:val="0"/>
              <w:widowControl/>
              <w:suppressLineNumbers w:val="0"/>
              <w:spacing w:before="0" w:beforeAutospacing="0" w:after="0" w:afterAutospacing="0"/>
              <w:ind w:left="0" w:right="0"/>
              <w:jc w:val="center"/>
              <w:rPr>
                <w:rFonts w:hint="eastAsia" w:ascii="宋体" w:hAnsi="宋体" w:cs="宋体"/>
                <w:spacing w:val="-6"/>
              </w:rPr>
            </w:pPr>
            <w:r>
              <w:rPr>
                <w:rFonts w:hint="eastAsia" w:ascii="宋体" w:hAnsi="宋体" w:cs="宋体"/>
                <w:color w:val="000000"/>
                <w:sz w:val="20"/>
                <w:szCs w:val="20"/>
              </w:rPr>
              <w:t>主观分</w:t>
            </w:r>
          </w:p>
        </w:tc>
      </w:tr>
      <w:tr w14:paraId="7E23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62" w:type="dxa"/>
            <w:noWrap/>
            <w:vAlign w:val="center"/>
          </w:tcPr>
          <w:p w14:paraId="7064C5D2">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2.4</w:t>
            </w:r>
          </w:p>
        </w:tc>
        <w:tc>
          <w:tcPr>
            <w:tcW w:w="1294" w:type="dxa"/>
            <w:noWrap/>
            <w:vAlign w:val="center"/>
          </w:tcPr>
          <w:p w14:paraId="5E727BE4">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网络割接方案</w:t>
            </w:r>
          </w:p>
        </w:tc>
        <w:tc>
          <w:tcPr>
            <w:tcW w:w="6913" w:type="dxa"/>
            <w:noWrap/>
            <w:vAlign w:val="top"/>
          </w:tcPr>
          <w:p w14:paraId="52523FC8">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评委根据投标人提供的网络割接方案（包括但不限于对现网业务情况分析、分阶段割接计划、割接方式、风险评估及应对措施、回退方案等）进行评分：</w:t>
            </w:r>
          </w:p>
          <w:p w14:paraId="6C9CDBB3">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（1）方案具体详细、完善、可操作性强得</w:t>
            </w:r>
            <w:r>
              <w:rPr>
                <w:rFonts w:hint="eastAsia" w:ascii="宋体" w:hAnsi="宋体" w:cs="宋体"/>
                <w:color w:val="000000"/>
                <w:sz w:val="20"/>
                <w:szCs w:val="20"/>
                <w:lang w:val="en-US" w:eastAsia="zh-CN"/>
              </w:rPr>
              <w:t>9</w:t>
            </w:r>
            <w:r>
              <w:rPr>
                <w:rFonts w:hint="eastAsia" w:ascii="宋体" w:hAnsi="宋体" w:cs="宋体"/>
                <w:color w:val="000000"/>
                <w:sz w:val="20"/>
                <w:szCs w:val="20"/>
              </w:rPr>
              <w:t>分；</w:t>
            </w:r>
          </w:p>
          <w:p w14:paraId="7E41E0B0">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（2）方案具体详细、完善、可操作性较强得</w:t>
            </w:r>
            <w:r>
              <w:rPr>
                <w:rFonts w:hint="eastAsia" w:ascii="宋体" w:hAnsi="宋体" w:cs="宋体"/>
                <w:color w:val="000000"/>
                <w:sz w:val="20"/>
                <w:szCs w:val="20"/>
                <w:lang w:val="en-US" w:eastAsia="zh-CN"/>
              </w:rPr>
              <w:t>6</w:t>
            </w:r>
            <w:r>
              <w:rPr>
                <w:rFonts w:hint="eastAsia" w:ascii="宋体" w:hAnsi="宋体" w:cs="宋体"/>
                <w:color w:val="000000"/>
                <w:sz w:val="20"/>
                <w:szCs w:val="20"/>
              </w:rPr>
              <w:t>分；</w:t>
            </w:r>
          </w:p>
          <w:p w14:paraId="4A05A8AC">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（3）方案不够具体详细、不够完善、可操作性一般得</w:t>
            </w:r>
            <w:r>
              <w:rPr>
                <w:rFonts w:hint="eastAsia" w:ascii="宋体" w:hAnsi="宋体" w:cs="宋体"/>
                <w:color w:val="000000"/>
                <w:sz w:val="20"/>
                <w:szCs w:val="20"/>
                <w:lang w:val="en-US" w:eastAsia="zh-CN"/>
              </w:rPr>
              <w:t>3</w:t>
            </w:r>
            <w:r>
              <w:rPr>
                <w:rFonts w:hint="eastAsia" w:ascii="宋体" w:hAnsi="宋体" w:cs="宋体"/>
                <w:color w:val="000000"/>
                <w:sz w:val="20"/>
                <w:szCs w:val="20"/>
              </w:rPr>
              <w:t>分；</w:t>
            </w:r>
          </w:p>
          <w:p w14:paraId="70020B28">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（4）无此项内容不得分。</w:t>
            </w:r>
          </w:p>
        </w:tc>
        <w:tc>
          <w:tcPr>
            <w:tcW w:w="712" w:type="dxa"/>
            <w:noWrap/>
            <w:vAlign w:val="center"/>
          </w:tcPr>
          <w:p w14:paraId="2009AAF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9</w:t>
            </w:r>
          </w:p>
        </w:tc>
        <w:tc>
          <w:tcPr>
            <w:tcW w:w="757" w:type="dxa"/>
            <w:noWrap/>
            <w:vAlign w:val="center"/>
          </w:tcPr>
          <w:p w14:paraId="0C4DC292">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主观分</w:t>
            </w:r>
          </w:p>
        </w:tc>
      </w:tr>
      <w:tr w14:paraId="578C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438" w:type="dxa"/>
            <w:gridSpan w:val="5"/>
            <w:noWrap/>
            <w:vAlign w:val="center"/>
          </w:tcPr>
          <w:p w14:paraId="165A0D1D">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b/>
                <w:bCs/>
                <w:color w:val="000000"/>
                <w:sz w:val="20"/>
                <w:szCs w:val="20"/>
              </w:rPr>
              <w:t>3.服务</w:t>
            </w:r>
          </w:p>
        </w:tc>
      </w:tr>
      <w:tr w14:paraId="713D5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jc w:val="center"/>
        </w:trPr>
        <w:tc>
          <w:tcPr>
            <w:tcW w:w="762" w:type="dxa"/>
            <w:noWrap/>
            <w:vAlign w:val="center"/>
          </w:tcPr>
          <w:p w14:paraId="09DA3B60">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3.1</w:t>
            </w:r>
          </w:p>
        </w:tc>
        <w:tc>
          <w:tcPr>
            <w:tcW w:w="1294" w:type="dxa"/>
            <w:noWrap/>
            <w:vAlign w:val="center"/>
          </w:tcPr>
          <w:p w14:paraId="29E1565E">
            <w:pPr>
              <w:keepNext w:val="0"/>
              <w:keepLines w:val="0"/>
              <w:widowControl/>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color w:val="000000"/>
                <w:sz w:val="20"/>
                <w:szCs w:val="20"/>
              </w:rPr>
              <w:t>售后服务方案</w:t>
            </w:r>
          </w:p>
        </w:tc>
        <w:tc>
          <w:tcPr>
            <w:tcW w:w="6913" w:type="dxa"/>
            <w:noWrap/>
            <w:vAlign w:val="center"/>
          </w:tcPr>
          <w:p w14:paraId="177A3748">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评委根据投标人提供的售后服务方案（包括但不限于售后服务体系、售后服务响应、问题解决方案、专业技术人员保障及服务电话等）进行评分：</w:t>
            </w:r>
          </w:p>
          <w:p w14:paraId="2E7EE578">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（1）方案具体详细、完善、可操作性强得</w:t>
            </w:r>
            <w:r>
              <w:rPr>
                <w:rFonts w:hint="eastAsia" w:ascii="宋体" w:hAnsi="宋体" w:cs="宋体"/>
                <w:color w:val="000000"/>
                <w:sz w:val="20"/>
                <w:szCs w:val="20"/>
                <w:lang w:val="en-US" w:eastAsia="zh-CN"/>
              </w:rPr>
              <w:t>9</w:t>
            </w:r>
            <w:r>
              <w:rPr>
                <w:rFonts w:hint="eastAsia" w:ascii="宋体" w:hAnsi="宋体" w:cs="宋体"/>
                <w:color w:val="000000"/>
                <w:sz w:val="20"/>
                <w:szCs w:val="20"/>
              </w:rPr>
              <w:t>分；</w:t>
            </w:r>
          </w:p>
          <w:p w14:paraId="78817F28">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（2）方案具体详细、完善、可操作性较强得</w:t>
            </w:r>
            <w:r>
              <w:rPr>
                <w:rFonts w:hint="eastAsia" w:ascii="宋体" w:hAnsi="宋体" w:cs="宋体"/>
                <w:color w:val="000000"/>
                <w:sz w:val="20"/>
                <w:szCs w:val="20"/>
                <w:lang w:val="en-US" w:eastAsia="zh-CN"/>
              </w:rPr>
              <w:t>6</w:t>
            </w:r>
            <w:r>
              <w:rPr>
                <w:rFonts w:hint="eastAsia" w:ascii="宋体" w:hAnsi="宋体" w:cs="宋体"/>
                <w:color w:val="000000"/>
                <w:sz w:val="20"/>
                <w:szCs w:val="20"/>
              </w:rPr>
              <w:t>分；</w:t>
            </w:r>
          </w:p>
          <w:p w14:paraId="10AB2CF3">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（3）方案不够具体详细、不够完善、可操作性一般得</w:t>
            </w:r>
            <w:r>
              <w:rPr>
                <w:rFonts w:hint="eastAsia" w:ascii="宋体" w:hAnsi="宋体" w:cs="宋体"/>
                <w:color w:val="000000"/>
                <w:sz w:val="20"/>
                <w:szCs w:val="20"/>
                <w:lang w:val="en-US" w:eastAsia="zh-CN"/>
              </w:rPr>
              <w:t>3</w:t>
            </w:r>
            <w:r>
              <w:rPr>
                <w:rFonts w:hint="eastAsia" w:ascii="宋体" w:hAnsi="宋体" w:cs="宋体"/>
                <w:color w:val="000000"/>
                <w:sz w:val="20"/>
                <w:szCs w:val="20"/>
              </w:rPr>
              <w:t>分；</w:t>
            </w:r>
          </w:p>
          <w:p w14:paraId="0F4C2FAC">
            <w:pPr>
              <w:keepNext w:val="0"/>
              <w:keepLines w:val="0"/>
              <w:widowControl/>
              <w:suppressLineNumbers w:val="0"/>
              <w:spacing w:before="0" w:beforeAutospacing="0" w:after="0" w:afterAutospacing="0"/>
              <w:ind w:left="0" w:right="0"/>
              <w:jc w:val="left"/>
              <w:rPr>
                <w:rFonts w:hint="eastAsia" w:ascii="宋体" w:hAnsi="宋体" w:cs="宋体"/>
                <w:szCs w:val="21"/>
              </w:rPr>
            </w:pPr>
            <w:r>
              <w:rPr>
                <w:rFonts w:hint="eastAsia" w:ascii="宋体" w:hAnsi="宋体" w:cs="宋体"/>
                <w:color w:val="000000"/>
                <w:sz w:val="20"/>
                <w:szCs w:val="20"/>
              </w:rPr>
              <w:t>（4）无此项内容不得分。</w:t>
            </w:r>
          </w:p>
        </w:tc>
        <w:tc>
          <w:tcPr>
            <w:tcW w:w="712" w:type="dxa"/>
            <w:noWrap/>
            <w:vAlign w:val="center"/>
          </w:tcPr>
          <w:p w14:paraId="3D307F96">
            <w:pPr>
              <w:keepNext w:val="0"/>
              <w:keepLines w:val="0"/>
              <w:widowControl/>
              <w:suppressLineNumbers w:val="0"/>
              <w:spacing w:before="0" w:beforeAutospacing="0" w:after="0" w:afterAutospacing="0"/>
              <w:ind w:left="0" w:right="0"/>
              <w:jc w:val="center"/>
              <w:rPr>
                <w:rFonts w:hint="eastAsia" w:ascii="宋体" w:hAnsi="宋体" w:eastAsia="宋体" w:cs="宋体"/>
                <w:szCs w:val="21"/>
                <w:lang w:eastAsia="zh-CN"/>
              </w:rPr>
            </w:pPr>
            <w:r>
              <w:rPr>
                <w:rFonts w:hint="eastAsia" w:ascii="宋体" w:hAnsi="宋体" w:cs="宋体"/>
                <w:color w:val="000000"/>
                <w:sz w:val="20"/>
                <w:szCs w:val="20"/>
                <w:lang w:val="en-US" w:eastAsia="zh-CN"/>
              </w:rPr>
              <w:t>9</w:t>
            </w:r>
          </w:p>
        </w:tc>
        <w:tc>
          <w:tcPr>
            <w:tcW w:w="757" w:type="dxa"/>
            <w:noWrap/>
            <w:vAlign w:val="center"/>
          </w:tcPr>
          <w:p w14:paraId="7E099532">
            <w:pPr>
              <w:keepNext w:val="0"/>
              <w:keepLines w:val="0"/>
              <w:widowControl/>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color w:val="000000"/>
                <w:sz w:val="20"/>
                <w:szCs w:val="20"/>
              </w:rPr>
              <w:t>主观分</w:t>
            </w:r>
          </w:p>
        </w:tc>
      </w:tr>
      <w:tr w14:paraId="7E28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jc w:val="center"/>
        </w:trPr>
        <w:tc>
          <w:tcPr>
            <w:tcW w:w="762" w:type="dxa"/>
            <w:noWrap/>
            <w:vAlign w:val="center"/>
          </w:tcPr>
          <w:p w14:paraId="53B22E7D">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3.2</w:t>
            </w:r>
          </w:p>
        </w:tc>
        <w:tc>
          <w:tcPr>
            <w:tcW w:w="1294" w:type="dxa"/>
            <w:noWrap/>
            <w:vAlign w:val="center"/>
          </w:tcPr>
          <w:p w14:paraId="34A3673F">
            <w:pPr>
              <w:keepNext w:val="0"/>
              <w:keepLines w:val="0"/>
              <w:widowControl/>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color w:val="000000"/>
                <w:sz w:val="20"/>
                <w:szCs w:val="20"/>
              </w:rPr>
              <w:t>培训方案</w:t>
            </w:r>
          </w:p>
        </w:tc>
        <w:tc>
          <w:tcPr>
            <w:tcW w:w="6913" w:type="dxa"/>
            <w:noWrap/>
            <w:vAlign w:val="center"/>
          </w:tcPr>
          <w:p w14:paraId="52DC47BC">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评委根据投标人提供的培训方案（包括但不限于培训需求分析、培训目标计划、培训内容及方法、负责培训人员情况、</w:t>
            </w:r>
            <w:r>
              <w:rPr>
                <w:rFonts w:hint="eastAsia" w:ascii="宋体" w:hAnsi="宋体" w:cs="宋体"/>
                <w:color w:val="000000"/>
                <w:sz w:val="20"/>
                <w:szCs w:val="20"/>
                <w:lang w:val="zh-CN"/>
              </w:rPr>
              <w:t>资料交接、SDN控制器使用方式、日常维护要点</w:t>
            </w:r>
            <w:r>
              <w:rPr>
                <w:rFonts w:hint="eastAsia" w:ascii="宋体" w:hAnsi="宋体" w:cs="宋体"/>
                <w:color w:val="000000"/>
                <w:sz w:val="20"/>
                <w:szCs w:val="20"/>
              </w:rPr>
              <w:t>等）进行评分：</w:t>
            </w:r>
          </w:p>
          <w:p w14:paraId="3C653EBF">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（1）方案具体详细、完善、可操作性强得</w:t>
            </w:r>
            <w:r>
              <w:rPr>
                <w:rFonts w:hint="eastAsia" w:ascii="宋体" w:hAnsi="宋体" w:cs="宋体"/>
                <w:color w:val="000000"/>
                <w:sz w:val="20"/>
                <w:szCs w:val="20"/>
                <w:lang w:val="en-US" w:eastAsia="zh-CN"/>
              </w:rPr>
              <w:t>4</w:t>
            </w:r>
            <w:r>
              <w:rPr>
                <w:rFonts w:hint="eastAsia" w:ascii="宋体" w:hAnsi="宋体" w:cs="宋体"/>
                <w:color w:val="000000"/>
                <w:sz w:val="20"/>
                <w:szCs w:val="20"/>
              </w:rPr>
              <w:t>分；</w:t>
            </w:r>
          </w:p>
          <w:p w14:paraId="22037DE8">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（2）方案具体详细、完善、可操作性较强得</w:t>
            </w:r>
            <w:r>
              <w:rPr>
                <w:rFonts w:hint="eastAsia" w:ascii="宋体" w:hAnsi="宋体" w:cs="宋体"/>
                <w:color w:val="000000"/>
                <w:sz w:val="20"/>
                <w:szCs w:val="20"/>
                <w:lang w:val="en-US" w:eastAsia="zh-CN"/>
              </w:rPr>
              <w:t>2</w:t>
            </w:r>
            <w:r>
              <w:rPr>
                <w:rFonts w:hint="eastAsia" w:ascii="宋体" w:hAnsi="宋体" w:cs="宋体"/>
                <w:color w:val="000000"/>
                <w:sz w:val="20"/>
                <w:szCs w:val="20"/>
              </w:rPr>
              <w:t>分；</w:t>
            </w:r>
          </w:p>
          <w:p w14:paraId="28246890">
            <w:pPr>
              <w:keepNext w:val="0"/>
              <w:keepLines w:val="0"/>
              <w:widowControl/>
              <w:suppressLineNumbers w:val="0"/>
              <w:spacing w:before="0" w:beforeAutospacing="0" w:after="0" w:afterAutospacing="0"/>
              <w:ind w:left="0" w:right="0"/>
              <w:jc w:val="left"/>
              <w:rPr>
                <w:rFonts w:hint="eastAsia" w:ascii="宋体" w:hAnsi="宋体" w:cs="宋体"/>
                <w:color w:val="000000"/>
                <w:sz w:val="20"/>
                <w:szCs w:val="20"/>
              </w:rPr>
            </w:pPr>
            <w:r>
              <w:rPr>
                <w:rFonts w:hint="eastAsia" w:ascii="宋体" w:hAnsi="宋体" w:cs="宋体"/>
                <w:color w:val="000000"/>
                <w:sz w:val="20"/>
                <w:szCs w:val="20"/>
              </w:rPr>
              <w:t>（3）方案不够具体详细、不够完善、可操作性一般得</w:t>
            </w:r>
            <w:r>
              <w:rPr>
                <w:rFonts w:hint="eastAsia" w:ascii="宋体" w:hAnsi="宋体" w:cs="宋体"/>
                <w:color w:val="000000"/>
                <w:sz w:val="20"/>
                <w:szCs w:val="20"/>
                <w:lang w:val="en-US" w:eastAsia="zh-CN"/>
              </w:rPr>
              <w:t>1</w:t>
            </w:r>
            <w:r>
              <w:rPr>
                <w:rFonts w:hint="eastAsia" w:ascii="宋体" w:hAnsi="宋体" w:cs="宋体"/>
                <w:color w:val="000000"/>
                <w:sz w:val="20"/>
                <w:szCs w:val="20"/>
              </w:rPr>
              <w:t>分；</w:t>
            </w:r>
          </w:p>
          <w:p w14:paraId="0286DC9B">
            <w:pPr>
              <w:keepNext w:val="0"/>
              <w:keepLines w:val="0"/>
              <w:widowControl/>
              <w:suppressLineNumbers w:val="0"/>
              <w:spacing w:before="0" w:beforeAutospacing="0" w:after="0" w:afterAutospacing="0"/>
              <w:ind w:left="0" w:right="0"/>
              <w:jc w:val="left"/>
              <w:rPr>
                <w:rFonts w:hint="eastAsia" w:ascii="宋体" w:hAnsi="宋体" w:cs="宋体"/>
                <w:szCs w:val="21"/>
              </w:rPr>
            </w:pPr>
            <w:r>
              <w:rPr>
                <w:rFonts w:hint="eastAsia" w:ascii="宋体" w:hAnsi="宋体" w:cs="宋体"/>
                <w:color w:val="000000"/>
                <w:sz w:val="20"/>
                <w:szCs w:val="20"/>
              </w:rPr>
              <w:t>（4）无此项内容不得分。</w:t>
            </w:r>
          </w:p>
        </w:tc>
        <w:tc>
          <w:tcPr>
            <w:tcW w:w="712" w:type="dxa"/>
            <w:noWrap/>
            <w:vAlign w:val="center"/>
          </w:tcPr>
          <w:p w14:paraId="6CD29270">
            <w:pPr>
              <w:keepNext w:val="0"/>
              <w:keepLines w:val="0"/>
              <w:widowControl/>
              <w:suppressLineNumbers w:val="0"/>
              <w:spacing w:before="0" w:beforeAutospacing="0" w:after="0" w:afterAutospacing="0"/>
              <w:ind w:left="0" w:right="0"/>
              <w:jc w:val="center"/>
              <w:rPr>
                <w:rFonts w:hint="eastAsia" w:ascii="宋体" w:hAnsi="宋体" w:eastAsia="宋体" w:cs="宋体"/>
                <w:szCs w:val="21"/>
                <w:lang w:eastAsia="zh-CN"/>
              </w:rPr>
            </w:pPr>
            <w:r>
              <w:rPr>
                <w:rFonts w:hint="eastAsia" w:ascii="宋体" w:hAnsi="宋体" w:cs="宋体"/>
                <w:color w:val="000000"/>
                <w:sz w:val="20"/>
                <w:szCs w:val="20"/>
                <w:lang w:val="en-US" w:eastAsia="zh-CN"/>
              </w:rPr>
              <w:t>4</w:t>
            </w:r>
          </w:p>
        </w:tc>
        <w:tc>
          <w:tcPr>
            <w:tcW w:w="757" w:type="dxa"/>
            <w:noWrap/>
            <w:vAlign w:val="center"/>
          </w:tcPr>
          <w:p w14:paraId="58D2F26D">
            <w:pPr>
              <w:keepNext w:val="0"/>
              <w:keepLines w:val="0"/>
              <w:widowControl/>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color w:val="000000"/>
                <w:sz w:val="20"/>
                <w:szCs w:val="20"/>
              </w:rPr>
              <w:t>主观分</w:t>
            </w:r>
          </w:p>
        </w:tc>
      </w:tr>
      <w:tr w14:paraId="66EF7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10438" w:type="dxa"/>
            <w:gridSpan w:val="5"/>
            <w:noWrap/>
            <w:vAlign w:val="center"/>
          </w:tcPr>
          <w:p w14:paraId="7919F814">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b/>
                <w:bCs/>
                <w:color w:val="000000"/>
                <w:sz w:val="20"/>
                <w:szCs w:val="20"/>
              </w:rPr>
              <w:t>4.业绩</w:t>
            </w:r>
          </w:p>
        </w:tc>
      </w:tr>
      <w:tr w14:paraId="0926E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jc w:val="center"/>
        </w:trPr>
        <w:tc>
          <w:tcPr>
            <w:tcW w:w="762" w:type="dxa"/>
            <w:noWrap/>
            <w:vAlign w:val="center"/>
          </w:tcPr>
          <w:p w14:paraId="20220AFD">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4.1</w:t>
            </w:r>
          </w:p>
        </w:tc>
        <w:tc>
          <w:tcPr>
            <w:tcW w:w="1294" w:type="dxa"/>
            <w:noWrap/>
            <w:vAlign w:val="center"/>
          </w:tcPr>
          <w:p w14:paraId="7F8F82A3">
            <w:pPr>
              <w:keepNext w:val="0"/>
              <w:keepLines w:val="0"/>
              <w:widowControl/>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color w:val="000000"/>
                <w:sz w:val="20"/>
                <w:szCs w:val="20"/>
              </w:rPr>
              <w:t>业绩案例</w:t>
            </w:r>
          </w:p>
        </w:tc>
        <w:tc>
          <w:tcPr>
            <w:tcW w:w="6913" w:type="dxa"/>
            <w:noWrap/>
            <w:vAlign w:val="center"/>
          </w:tcPr>
          <w:p w14:paraId="51EC5EEB">
            <w:pPr>
              <w:keepNext w:val="0"/>
              <w:keepLines w:val="0"/>
              <w:widowControl/>
              <w:suppressLineNumbers w:val="0"/>
              <w:spacing w:before="0" w:beforeAutospacing="0" w:after="0" w:afterAutospacing="0"/>
              <w:ind w:left="0" w:right="0"/>
              <w:rPr>
                <w:rFonts w:hint="eastAsia" w:ascii="宋体" w:hAnsi="宋体" w:cs="宋体"/>
                <w:szCs w:val="21"/>
              </w:rPr>
            </w:pPr>
            <w:r>
              <w:rPr>
                <w:rFonts w:hint="eastAsia" w:ascii="宋体" w:hAnsi="宋体" w:cs="宋体"/>
                <w:color w:val="000000"/>
                <w:sz w:val="20"/>
                <w:szCs w:val="20"/>
              </w:rPr>
              <w:t>投标人提供自</w:t>
            </w:r>
            <w:r>
              <w:rPr>
                <w:rFonts w:hint="eastAsia" w:ascii="宋体" w:hAnsi="宋体" w:cs="宋体"/>
                <w:sz w:val="20"/>
                <w:szCs w:val="20"/>
              </w:rPr>
              <w:t>2022年10月1日及</w:t>
            </w:r>
            <w:r>
              <w:rPr>
                <w:rFonts w:hint="eastAsia" w:ascii="宋体" w:hAnsi="宋体" w:cs="宋体"/>
                <w:color w:val="000000"/>
                <w:sz w:val="20"/>
                <w:szCs w:val="20"/>
              </w:rPr>
              <w:t>以来（以合同签订时间为准）承接的类似项目业绩</w:t>
            </w:r>
            <w:r>
              <w:rPr>
                <w:rFonts w:hint="eastAsia" w:ascii="宋体" w:hAnsi="宋体" w:cs="宋体"/>
                <w:color w:val="000000"/>
                <w:sz w:val="20"/>
                <w:szCs w:val="20"/>
                <w:lang w:eastAsia="zh-CN"/>
              </w:rPr>
              <w:t>（</w:t>
            </w:r>
            <w:r>
              <w:rPr>
                <w:rFonts w:hint="eastAsia" w:ascii="宋体" w:hAnsi="宋体" w:cs="宋体"/>
                <w:color w:val="000000"/>
                <w:sz w:val="20"/>
                <w:szCs w:val="20"/>
                <w:lang w:val="en-US" w:eastAsia="zh-CN"/>
              </w:rPr>
              <w:t>需包含网络改造或网络运维等相关内容</w:t>
            </w:r>
            <w:r>
              <w:rPr>
                <w:rFonts w:hint="eastAsia" w:ascii="宋体" w:hAnsi="宋体" w:cs="宋体"/>
                <w:color w:val="000000"/>
                <w:sz w:val="20"/>
                <w:szCs w:val="20"/>
                <w:lang w:eastAsia="zh-CN"/>
              </w:rPr>
              <w:t>）</w:t>
            </w:r>
            <w:r>
              <w:rPr>
                <w:rFonts w:hint="eastAsia" w:ascii="宋体" w:hAnsi="宋体" w:cs="宋体"/>
                <w:color w:val="000000"/>
                <w:sz w:val="20"/>
                <w:szCs w:val="20"/>
              </w:rPr>
              <w:t>，每提供1个业绩得</w:t>
            </w:r>
            <w:r>
              <w:rPr>
                <w:rFonts w:hint="eastAsia" w:ascii="宋体" w:hAnsi="宋体" w:cs="宋体"/>
                <w:color w:val="000000"/>
                <w:sz w:val="20"/>
                <w:szCs w:val="20"/>
                <w:lang w:val="en-US" w:eastAsia="zh-CN"/>
              </w:rPr>
              <w:t>1</w:t>
            </w:r>
            <w:r>
              <w:rPr>
                <w:rFonts w:hint="eastAsia" w:ascii="宋体" w:hAnsi="宋体" w:cs="宋体"/>
                <w:color w:val="000000"/>
                <w:sz w:val="20"/>
                <w:szCs w:val="20"/>
              </w:rPr>
              <w:t>分，最多得</w:t>
            </w:r>
            <w:r>
              <w:rPr>
                <w:rFonts w:hint="eastAsia" w:ascii="宋体" w:hAnsi="宋体" w:cs="宋体"/>
                <w:color w:val="000000"/>
                <w:sz w:val="20"/>
                <w:szCs w:val="20"/>
                <w:lang w:val="en-US" w:eastAsia="zh-CN"/>
              </w:rPr>
              <w:t>3</w:t>
            </w:r>
            <w:r>
              <w:rPr>
                <w:rFonts w:hint="eastAsia" w:ascii="宋体" w:hAnsi="宋体" w:cs="宋体"/>
                <w:color w:val="000000"/>
                <w:sz w:val="20"/>
                <w:szCs w:val="20"/>
              </w:rPr>
              <w:t>分。（提供合同、中标通知书的原件扫描件，编制至电子投标文件中，证明材料缺项或未提供的不得分）</w:t>
            </w:r>
          </w:p>
        </w:tc>
        <w:tc>
          <w:tcPr>
            <w:tcW w:w="712" w:type="dxa"/>
            <w:noWrap/>
            <w:vAlign w:val="center"/>
          </w:tcPr>
          <w:p w14:paraId="1DDEF272">
            <w:pPr>
              <w:keepNext w:val="0"/>
              <w:keepLines w:val="0"/>
              <w:widowControl/>
              <w:suppressLineNumbers w:val="0"/>
              <w:spacing w:before="0" w:beforeAutospacing="0" w:after="0" w:afterAutospacing="0"/>
              <w:ind w:left="0" w:right="0"/>
              <w:jc w:val="center"/>
              <w:rPr>
                <w:rFonts w:hint="eastAsia" w:ascii="宋体" w:hAnsi="宋体" w:eastAsia="宋体" w:cs="宋体"/>
                <w:lang w:eastAsia="zh-CN"/>
              </w:rPr>
            </w:pPr>
            <w:r>
              <w:rPr>
                <w:rFonts w:hint="eastAsia" w:ascii="宋体" w:hAnsi="宋体" w:cs="宋体"/>
                <w:color w:val="000000"/>
                <w:sz w:val="20"/>
                <w:szCs w:val="20"/>
                <w:lang w:val="en-US" w:eastAsia="zh-CN"/>
              </w:rPr>
              <w:t>3</w:t>
            </w:r>
          </w:p>
        </w:tc>
        <w:tc>
          <w:tcPr>
            <w:tcW w:w="757" w:type="dxa"/>
            <w:noWrap/>
            <w:vAlign w:val="center"/>
          </w:tcPr>
          <w:p w14:paraId="1AA98208">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客观分</w:t>
            </w:r>
          </w:p>
        </w:tc>
      </w:tr>
      <w:tr w14:paraId="41033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jc w:val="center"/>
        </w:trPr>
        <w:tc>
          <w:tcPr>
            <w:tcW w:w="10438" w:type="dxa"/>
            <w:gridSpan w:val="5"/>
            <w:noWrap/>
            <w:vAlign w:val="center"/>
          </w:tcPr>
          <w:p w14:paraId="68459C07">
            <w:pPr>
              <w:keepNext w:val="0"/>
              <w:keepLines w:val="0"/>
              <w:widowControl/>
              <w:suppressLineNumbers w:val="0"/>
              <w:spacing w:before="0" w:beforeAutospacing="0" w:after="0" w:afterAutospacing="0"/>
              <w:ind w:left="0" w:right="0"/>
              <w:rPr>
                <w:rFonts w:hint="eastAsia" w:ascii="宋体" w:hAnsi="宋体" w:cs="宋体"/>
              </w:rPr>
            </w:pPr>
            <w:r>
              <w:rPr>
                <w:rFonts w:hint="eastAsia" w:ascii="宋体" w:hAnsi="宋体" w:cs="宋体"/>
                <w:b/>
                <w:bCs/>
                <w:color w:val="000000"/>
                <w:sz w:val="20"/>
                <w:szCs w:val="20"/>
              </w:rPr>
              <w:t>5. 履约能力</w:t>
            </w:r>
          </w:p>
        </w:tc>
      </w:tr>
      <w:tr w14:paraId="20E7C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88" w:hRule="atLeast"/>
          <w:jc w:val="center"/>
        </w:trPr>
        <w:tc>
          <w:tcPr>
            <w:tcW w:w="762" w:type="dxa"/>
            <w:noWrap/>
            <w:vAlign w:val="center"/>
          </w:tcPr>
          <w:p w14:paraId="1F952F57">
            <w:pPr>
              <w:keepNext w:val="0"/>
              <w:keepLines w:val="0"/>
              <w:widowControl/>
              <w:suppressLineNumbers w:val="0"/>
              <w:spacing w:before="0" w:beforeAutospacing="0" w:after="0" w:afterAutospacing="0"/>
              <w:ind w:left="0" w:right="0"/>
              <w:jc w:val="center"/>
              <w:rPr>
                <w:rFonts w:hint="eastAsia" w:ascii="宋体" w:hAnsi="宋体" w:cs="宋体"/>
                <w:spacing w:val="-2"/>
              </w:rPr>
            </w:pPr>
            <w:r>
              <w:rPr>
                <w:rFonts w:hint="eastAsia" w:ascii="宋体" w:hAnsi="宋体" w:cs="宋体"/>
                <w:color w:val="000000"/>
                <w:sz w:val="20"/>
                <w:szCs w:val="20"/>
              </w:rPr>
              <w:t>5.1</w:t>
            </w:r>
          </w:p>
        </w:tc>
        <w:tc>
          <w:tcPr>
            <w:tcW w:w="1294" w:type="dxa"/>
            <w:noWrap/>
            <w:vAlign w:val="center"/>
          </w:tcPr>
          <w:p w14:paraId="40ECFC0A">
            <w:pPr>
              <w:keepNext w:val="0"/>
              <w:keepLines w:val="0"/>
              <w:widowControl/>
              <w:suppressLineNumbers w:val="0"/>
              <w:spacing w:before="0" w:beforeAutospacing="0" w:after="0" w:afterAutospacing="0"/>
              <w:ind w:left="0" w:right="0"/>
              <w:jc w:val="center"/>
              <w:rPr>
                <w:rFonts w:hint="eastAsia" w:ascii="宋体" w:hAnsi="宋体" w:cs="宋体"/>
                <w:color w:val="000000"/>
                <w:spacing w:val="-1"/>
                <w:szCs w:val="21"/>
              </w:rPr>
            </w:pPr>
            <w:r>
              <w:rPr>
                <w:rFonts w:hint="eastAsia" w:ascii="宋体" w:hAnsi="宋体" w:cs="宋体"/>
                <w:color w:val="000000"/>
                <w:sz w:val="20"/>
                <w:szCs w:val="20"/>
              </w:rPr>
              <w:t>项目团队能力</w:t>
            </w:r>
          </w:p>
        </w:tc>
        <w:tc>
          <w:tcPr>
            <w:tcW w:w="6913" w:type="dxa"/>
            <w:noWrap/>
            <w:vAlign w:val="top"/>
          </w:tcPr>
          <w:p w14:paraId="771A5963">
            <w:pPr>
              <w:keepNext w:val="0"/>
              <w:keepLines w:val="0"/>
              <w:widowControl/>
              <w:suppressLineNumbers w:val="0"/>
              <w:spacing w:before="0" w:beforeAutospacing="0" w:after="0" w:afterAutospacing="0"/>
              <w:ind w:left="0" w:right="0"/>
              <w:rPr>
                <w:rFonts w:hint="eastAsia" w:ascii="宋体" w:hAnsi="宋体" w:cs="宋体"/>
                <w:color w:val="auto"/>
                <w:sz w:val="20"/>
                <w:szCs w:val="20"/>
                <w:highlight w:val="none"/>
              </w:rPr>
            </w:pPr>
            <w:r>
              <w:rPr>
                <w:rFonts w:hint="eastAsia" w:ascii="宋体" w:hAnsi="宋体" w:cs="宋体"/>
                <w:color w:val="000000"/>
                <w:sz w:val="20"/>
                <w:szCs w:val="20"/>
              </w:rPr>
              <w:t>1、投标人拟投入本项目的项目经理（仅限1人）</w:t>
            </w:r>
            <w:r>
              <w:rPr>
                <w:rFonts w:hint="eastAsia" w:ascii="宋体" w:hAnsi="宋体" w:cs="宋体"/>
                <w:color w:val="auto"/>
                <w:sz w:val="20"/>
                <w:szCs w:val="20"/>
                <w:highlight w:val="none"/>
              </w:rPr>
              <w:t>具有信息系统项目管理师的加1分，同时具有IT服务项目经理的加1分，本项满分</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p>
          <w:p w14:paraId="624B6067">
            <w:pPr>
              <w:keepNext w:val="0"/>
              <w:keepLines w:val="0"/>
              <w:widowControl/>
              <w:suppressLineNumbers w:val="0"/>
              <w:spacing w:before="0" w:beforeAutospacing="0" w:after="0" w:afterAutospacing="0"/>
              <w:ind w:left="0" w:right="0"/>
              <w:rPr>
                <w:rFonts w:hint="eastAsia" w:ascii="宋体" w:hAnsi="宋体" w:cs="宋体"/>
                <w:color w:val="auto"/>
                <w:sz w:val="20"/>
                <w:szCs w:val="20"/>
                <w:highlight w:val="none"/>
              </w:rPr>
            </w:pPr>
            <w:r>
              <w:rPr>
                <w:rFonts w:hint="eastAsia" w:ascii="宋体" w:hAnsi="宋体" w:cs="宋体"/>
                <w:color w:val="auto"/>
                <w:sz w:val="20"/>
                <w:szCs w:val="20"/>
                <w:highlight w:val="none"/>
              </w:rPr>
              <w:t>2、投标人拟投入本项目的项目技术负责人（仅限1人，且不与项目经理为同1人）具有信息系统项目管理师的加1分，同时具有IT服务工程师的加1分，本项满分</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p>
          <w:p w14:paraId="68AE9528">
            <w:pPr>
              <w:keepNext w:val="0"/>
              <w:keepLines w:val="0"/>
              <w:widowControl/>
              <w:suppressLineNumbers w:val="0"/>
              <w:spacing w:before="0" w:beforeAutospacing="0" w:after="0" w:afterAutospacing="0"/>
              <w:ind w:left="0" w:right="0"/>
              <w:rPr>
                <w:rFonts w:hint="eastAsia" w:ascii="宋体" w:hAnsi="宋体" w:cs="宋体"/>
                <w:color w:val="auto"/>
                <w:sz w:val="20"/>
                <w:szCs w:val="20"/>
                <w:highlight w:val="none"/>
              </w:rPr>
            </w:pPr>
            <w:r>
              <w:rPr>
                <w:rFonts w:hint="eastAsia" w:ascii="宋体" w:hAnsi="宋体" w:cs="宋体"/>
                <w:color w:val="auto"/>
                <w:sz w:val="20"/>
                <w:szCs w:val="20"/>
                <w:highlight w:val="none"/>
              </w:rPr>
              <w:t>3、投标人拟投入本项目的项目团队成员3人（项目经理、技术负责人除外）满足以下要求的：</w:t>
            </w:r>
          </w:p>
          <w:p w14:paraId="0934C975">
            <w:pPr>
              <w:keepNext w:val="0"/>
              <w:keepLines w:val="0"/>
              <w:widowControl/>
              <w:suppressLineNumbers w:val="0"/>
              <w:spacing w:before="0" w:beforeAutospacing="0" w:after="0" w:afterAutospacing="0"/>
              <w:ind w:left="0" w:right="0"/>
              <w:rPr>
                <w:rFonts w:ascii="宋体" w:hAnsi="宋体" w:cs="宋体"/>
                <w:color w:val="auto"/>
                <w:sz w:val="20"/>
                <w:szCs w:val="20"/>
                <w:highlight w:val="none"/>
              </w:rPr>
            </w:pPr>
            <w:r>
              <w:rPr>
                <w:rFonts w:hint="eastAsia" w:ascii="宋体" w:hAnsi="宋体" w:cs="宋体"/>
                <w:color w:val="auto"/>
                <w:sz w:val="20"/>
                <w:szCs w:val="20"/>
                <w:highlight w:val="none"/>
              </w:rPr>
              <w:t>具有系统集成项目管理工程师证书的得1分；</w:t>
            </w:r>
          </w:p>
          <w:p w14:paraId="3506BF0B">
            <w:pPr>
              <w:keepNext w:val="0"/>
              <w:keepLines w:val="0"/>
              <w:widowControl/>
              <w:suppressLineNumbers w:val="0"/>
              <w:spacing w:before="0" w:beforeAutospacing="0" w:after="0" w:afterAutospacing="0"/>
              <w:ind w:left="0" w:right="0"/>
              <w:rPr>
                <w:rFonts w:ascii="宋体" w:hAnsi="宋体" w:cs="宋体"/>
                <w:color w:val="auto"/>
                <w:sz w:val="20"/>
                <w:szCs w:val="20"/>
                <w:highlight w:val="none"/>
              </w:rPr>
            </w:pPr>
            <w:r>
              <w:rPr>
                <w:rFonts w:hint="eastAsia" w:ascii="宋体" w:hAnsi="宋体" w:cs="宋体"/>
                <w:color w:val="auto"/>
                <w:sz w:val="20"/>
                <w:szCs w:val="20"/>
                <w:highlight w:val="none"/>
              </w:rPr>
              <w:t>具有</w:t>
            </w:r>
            <w:r>
              <w:rPr>
                <w:rFonts w:hint="eastAsia" w:ascii="宋体" w:hAnsi="宋体" w:cs="宋体"/>
                <w:color w:val="auto"/>
                <w:sz w:val="20"/>
                <w:szCs w:val="20"/>
                <w:highlight w:val="none"/>
                <w:lang w:val="en-US" w:eastAsia="zh-CN"/>
              </w:rPr>
              <w:t>网络规划设计师</w:t>
            </w:r>
            <w:r>
              <w:rPr>
                <w:rFonts w:hint="eastAsia" w:ascii="宋体" w:hAnsi="宋体" w:cs="宋体"/>
                <w:color w:val="auto"/>
                <w:sz w:val="20"/>
                <w:szCs w:val="20"/>
                <w:highlight w:val="none"/>
              </w:rPr>
              <w:t>证书的得1分；</w:t>
            </w:r>
          </w:p>
          <w:p w14:paraId="344D1B03">
            <w:pPr>
              <w:keepNext w:val="0"/>
              <w:keepLines w:val="0"/>
              <w:widowControl/>
              <w:suppressLineNumbers w:val="0"/>
              <w:spacing w:before="0" w:beforeAutospacing="0" w:after="0" w:afterAutospacing="0"/>
              <w:ind w:left="0" w:right="0"/>
              <w:rPr>
                <w:rFonts w:hint="eastAsia" w:ascii="宋体" w:hAnsi="宋体" w:cs="宋体"/>
                <w:color w:val="auto"/>
                <w:sz w:val="20"/>
                <w:szCs w:val="20"/>
                <w:highlight w:val="none"/>
              </w:rPr>
            </w:pPr>
            <w:r>
              <w:rPr>
                <w:rFonts w:hint="eastAsia" w:ascii="宋体" w:hAnsi="宋体" w:cs="宋体"/>
                <w:color w:val="auto"/>
                <w:sz w:val="20"/>
                <w:szCs w:val="20"/>
                <w:highlight w:val="none"/>
              </w:rPr>
              <w:t>具有IT服务工程师证书的得1分。</w:t>
            </w:r>
          </w:p>
          <w:p w14:paraId="10C52DFA">
            <w:pPr>
              <w:keepNext w:val="0"/>
              <w:keepLines w:val="0"/>
              <w:widowControl/>
              <w:suppressLineNumbers w:val="0"/>
              <w:spacing w:before="0" w:beforeAutospacing="0" w:after="0" w:afterAutospacing="0"/>
              <w:ind w:left="0" w:right="0"/>
              <w:rPr>
                <w:rFonts w:hint="eastAsia" w:ascii="宋体" w:hAnsi="宋体" w:cs="宋体"/>
                <w:color w:val="auto"/>
                <w:sz w:val="20"/>
                <w:szCs w:val="20"/>
                <w:highlight w:val="none"/>
              </w:rPr>
            </w:pPr>
            <w:r>
              <w:rPr>
                <w:rFonts w:hint="eastAsia" w:ascii="宋体" w:hAnsi="宋体" w:cs="宋体"/>
                <w:color w:val="auto"/>
                <w:sz w:val="20"/>
                <w:szCs w:val="20"/>
                <w:highlight w:val="none"/>
              </w:rPr>
              <w:t>每提供一个人员证书得1分，一人多证不重复计分，本项最高得3分。</w:t>
            </w:r>
          </w:p>
          <w:p w14:paraId="1D0813EA">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r>
              <w:rPr>
                <w:rFonts w:hint="eastAsia" w:ascii="宋体" w:hAnsi="宋体" w:cs="宋体"/>
                <w:color w:val="000000"/>
                <w:sz w:val="20"/>
                <w:szCs w:val="20"/>
              </w:rPr>
              <w:t>注：一人具有多证不兼得分（提供相关人员证书复印件及投标人为其缴纳的2025年1月以来任意一个月的社保证明，编制至电子投标文件中，缺一不可）</w:t>
            </w:r>
          </w:p>
        </w:tc>
        <w:tc>
          <w:tcPr>
            <w:tcW w:w="712" w:type="dxa"/>
            <w:noWrap/>
            <w:vAlign w:val="center"/>
          </w:tcPr>
          <w:p w14:paraId="02515B58">
            <w:pPr>
              <w:keepNext w:val="0"/>
              <w:keepLines w:val="0"/>
              <w:widowControl/>
              <w:suppressLineNumbers w:val="0"/>
              <w:spacing w:before="0" w:beforeAutospacing="0" w:after="0" w:afterAutospacing="0"/>
              <w:ind w:left="0" w:right="0"/>
              <w:jc w:val="center"/>
              <w:rPr>
                <w:rFonts w:hint="eastAsia" w:ascii="宋体" w:hAnsi="宋体" w:eastAsia="宋体" w:cs="宋体"/>
                <w:highlight w:val="yellow"/>
                <w:lang w:eastAsia="zh-CN"/>
              </w:rPr>
            </w:pPr>
            <w:r>
              <w:rPr>
                <w:rFonts w:hint="eastAsia" w:ascii="宋体" w:hAnsi="宋体" w:cs="宋体"/>
                <w:color w:val="000000"/>
                <w:sz w:val="20"/>
                <w:szCs w:val="20"/>
                <w:highlight w:val="none"/>
                <w:lang w:val="en-US" w:eastAsia="zh-CN"/>
              </w:rPr>
              <w:t>7</w:t>
            </w:r>
          </w:p>
        </w:tc>
        <w:tc>
          <w:tcPr>
            <w:tcW w:w="757" w:type="dxa"/>
            <w:noWrap/>
            <w:vAlign w:val="center"/>
          </w:tcPr>
          <w:p w14:paraId="4A912BA5">
            <w:pPr>
              <w:keepNext w:val="0"/>
              <w:keepLines w:val="0"/>
              <w:widowControl/>
              <w:suppressLineNumbers w:val="0"/>
              <w:spacing w:before="0" w:beforeAutospacing="0" w:after="0" w:afterAutospacing="0"/>
              <w:ind w:left="0" w:right="0"/>
              <w:jc w:val="center"/>
              <w:rPr>
                <w:rFonts w:hint="eastAsia" w:ascii="宋体" w:hAnsi="宋体" w:cs="宋体"/>
              </w:rPr>
            </w:pPr>
            <w:r>
              <w:rPr>
                <w:rFonts w:hint="eastAsia" w:ascii="宋体" w:hAnsi="宋体" w:cs="宋体"/>
                <w:color w:val="000000"/>
                <w:sz w:val="20"/>
                <w:szCs w:val="20"/>
              </w:rPr>
              <w:t>客观分</w:t>
            </w:r>
          </w:p>
        </w:tc>
      </w:tr>
      <w:tr w14:paraId="05D3E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1" w:hRule="atLeast"/>
          <w:jc w:val="center"/>
        </w:trPr>
        <w:tc>
          <w:tcPr>
            <w:tcW w:w="2056" w:type="dxa"/>
            <w:gridSpan w:val="2"/>
            <w:noWrap/>
            <w:vAlign w:val="center"/>
          </w:tcPr>
          <w:p w14:paraId="2C68F398">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合计</w:t>
            </w:r>
          </w:p>
        </w:tc>
        <w:tc>
          <w:tcPr>
            <w:tcW w:w="6913" w:type="dxa"/>
            <w:noWrap/>
            <w:vAlign w:val="center"/>
          </w:tcPr>
          <w:p w14:paraId="35AE2FA4">
            <w:pPr>
              <w:keepNext w:val="0"/>
              <w:keepLines w:val="0"/>
              <w:widowControl/>
              <w:suppressLineNumbers w:val="0"/>
              <w:spacing w:before="0" w:beforeAutospacing="0" w:after="0" w:afterAutospacing="0"/>
              <w:ind w:left="0" w:right="0"/>
              <w:rPr>
                <w:rFonts w:hint="eastAsia" w:ascii="宋体" w:hAnsi="宋体" w:cs="宋体"/>
                <w:color w:val="000000"/>
                <w:sz w:val="20"/>
                <w:szCs w:val="20"/>
              </w:rPr>
            </w:pPr>
          </w:p>
        </w:tc>
        <w:tc>
          <w:tcPr>
            <w:tcW w:w="1469" w:type="dxa"/>
            <w:gridSpan w:val="2"/>
            <w:noWrap/>
            <w:vAlign w:val="center"/>
          </w:tcPr>
          <w:p w14:paraId="3AFB6C0A">
            <w:pPr>
              <w:keepNext w:val="0"/>
              <w:keepLines w:val="0"/>
              <w:widowControl/>
              <w:suppressLineNumbers w:val="0"/>
              <w:spacing w:before="0" w:beforeAutospacing="0" w:after="0" w:afterAutospacing="0"/>
              <w:ind w:left="0" w:right="0"/>
              <w:jc w:val="center"/>
              <w:rPr>
                <w:rFonts w:hint="eastAsia" w:ascii="宋体" w:hAnsi="宋体" w:cs="宋体"/>
                <w:color w:val="000000"/>
                <w:sz w:val="20"/>
                <w:szCs w:val="20"/>
              </w:rPr>
            </w:pPr>
            <w:r>
              <w:rPr>
                <w:rFonts w:hint="eastAsia" w:ascii="宋体" w:hAnsi="宋体" w:cs="宋体"/>
                <w:color w:val="000000"/>
                <w:sz w:val="20"/>
                <w:szCs w:val="20"/>
              </w:rPr>
              <w:t>100分</w:t>
            </w:r>
          </w:p>
        </w:tc>
      </w:tr>
    </w:tbl>
    <w:p w14:paraId="4DF477D4">
      <w:pPr>
        <w:spacing w:line="288" w:lineRule="auto"/>
        <w:jc w:val="left"/>
        <w:rPr>
          <w:rFonts w:ascii="宋体" w:hAnsi="宋体" w:cs="宋体"/>
          <w:b/>
          <w:bCs/>
          <w:sz w:val="32"/>
          <w:szCs w:val="32"/>
          <w:highlight w:val="yellow"/>
        </w:rPr>
      </w:pPr>
    </w:p>
    <w:p w14:paraId="0161EC65">
      <w:pPr>
        <w:pStyle w:val="35"/>
        <w:rPr>
          <w:highlight w:val="none"/>
        </w:rPr>
      </w:pPr>
      <w:r>
        <w:rPr>
          <w:rFonts w:hint="eastAsia"/>
          <w:highlight w:val="none"/>
        </w:rPr>
        <w:br w:type="page" w:clear="all"/>
      </w:r>
    </w:p>
    <w:p w14:paraId="498B35C6">
      <w:pPr>
        <w:pStyle w:val="35"/>
        <w:ind w:left="0"/>
        <w:rPr>
          <w:highlight w:val="none"/>
        </w:rPr>
      </w:pPr>
    </w:p>
    <w:p w14:paraId="650452A2">
      <w:pPr>
        <w:pStyle w:val="35"/>
        <w:rPr>
          <w:highlight w:val="none"/>
        </w:rPr>
      </w:pPr>
    </w:p>
    <w:p w14:paraId="1DF5239F">
      <w:pPr>
        <w:pStyle w:val="35"/>
        <w:rPr>
          <w:highlight w:val="none"/>
        </w:rPr>
      </w:pPr>
    </w:p>
    <w:p w14:paraId="54353727">
      <w:pPr>
        <w:spacing w:line="360" w:lineRule="auto"/>
        <w:ind w:firstLine="880"/>
        <w:jc w:val="center"/>
        <w:rPr>
          <w:rFonts w:ascii="Arial" w:hAnsi="Arial" w:eastAsia="Arial" w:cs="Arial"/>
          <w:sz w:val="40"/>
          <w:szCs w:val="40"/>
          <w:highlight w:val="none"/>
        </w:rPr>
      </w:pPr>
      <w:r>
        <w:rPr>
          <w:rFonts w:hint="eastAsia" w:ascii="Arial" w:hAnsi="Arial" w:eastAsia="Arial" w:cs="Arial"/>
          <w:sz w:val="40"/>
          <w:szCs w:val="40"/>
          <w:highlight w:val="none"/>
        </w:rPr>
        <w:t>第六章</w:t>
      </w:r>
      <w:bookmarkEnd w:id="178"/>
      <w:bookmarkEnd w:id="179"/>
      <w:bookmarkEnd w:id="180"/>
      <w:r>
        <w:rPr>
          <w:rFonts w:hint="eastAsia" w:ascii="Arial" w:hAnsi="Arial" w:eastAsia="Arial" w:cs="Arial"/>
          <w:sz w:val="40"/>
          <w:szCs w:val="40"/>
          <w:highlight w:val="none"/>
        </w:rPr>
        <w:t>响应文件格式</w:t>
      </w:r>
    </w:p>
    <w:p w14:paraId="680C23BA">
      <w:pPr>
        <w:spacing w:line="360" w:lineRule="auto"/>
        <w:jc w:val="center"/>
        <w:rPr>
          <w:rFonts w:ascii="宋体" w:hAnsi="宋体" w:cs="宋体"/>
          <w:b/>
          <w:sz w:val="24"/>
          <w:szCs w:val="24"/>
          <w:highlight w:val="none"/>
        </w:rPr>
      </w:pPr>
      <w:bookmarkStart w:id="186" w:name="_Hlt26955039"/>
      <w:bookmarkEnd w:id="186"/>
      <w:bookmarkStart w:id="187" w:name="_Hlt26671244"/>
      <w:bookmarkEnd w:id="187"/>
      <w:bookmarkStart w:id="188" w:name="_Toc49090576"/>
      <w:bookmarkStart w:id="189" w:name="_Toc120614282"/>
      <w:bookmarkStart w:id="190" w:name="_Toc26554094"/>
    </w:p>
    <w:p w14:paraId="59B9E2D4">
      <w:pPr>
        <w:jc w:val="center"/>
        <w:rPr>
          <w:rFonts w:ascii="宋体" w:hAnsi="宋体"/>
          <w:b/>
          <w:sz w:val="72"/>
          <w:szCs w:val="21"/>
          <w:highlight w:val="none"/>
        </w:rPr>
      </w:pPr>
      <w:r>
        <w:rPr>
          <w:rFonts w:hint="eastAsia" w:ascii="宋体" w:hAnsi="宋体"/>
          <w:b/>
          <w:sz w:val="72"/>
          <w:szCs w:val="21"/>
          <w:highlight w:val="none"/>
        </w:rPr>
        <w:t>响  应  文  件</w:t>
      </w:r>
    </w:p>
    <w:p w14:paraId="0E333A36">
      <w:pPr>
        <w:jc w:val="center"/>
        <w:rPr>
          <w:rFonts w:ascii="宋体" w:hAnsi="宋体"/>
          <w:b/>
          <w:sz w:val="72"/>
          <w:szCs w:val="21"/>
          <w:highlight w:val="none"/>
        </w:rPr>
      </w:pPr>
    </w:p>
    <w:p w14:paraId="6F477B01">
      <w:pPr>
        <w:jc w:val="center"/>
        <w:rPr>
          <w:rFonts w:ascii="宋体" w:hAnsi="宋体"/>
          <w:b/>
          <w:sz w:val="72"/>
          <w:szCs w:val="21"/>
          <w:highlight w:val="none"/>
        </w:rPr>
      </w:pPr>
    </w:p>
    <w:p w14:paraId="1958C563">
      <w:pPr>
        <w:jc w:val="center"/>
        <w:rPr>
          <w:rFonts w:ascii="宋体" w:hAnsi="宋体"/>
          <w:b/>
          <w:sz w:val="36"/>
          <w:szCs w:val="21"/>
          <w:highlight w:val="none"/>
        </w:rPr>
      </w:pPr>
    </w:p>
    <w:p w14:paraId="210BF1BD">
      <w:pPr>
        <w:jc w:val="center"/>
        <w:rPr>
          <w:rFonts w:ascii="宋体" w:hAnsi="宋体"/>
          <w:b/>
          <w:sz w:val="36"/>
          <w:szCs w:val="21"/>
          <w:highlight w:val="none"/>
        </w:rPr>
      </w:pPr>
    </w:p>
    <w:p w14:paraId="39DC5BAE">
      <w:pPr>
        <w:jc w:val="center"/>
        <w:rPr>
          <w:rFonts w:ascii="宋体" w:hAnsi="宋体"/>
          <w:b/>
          <w:sz w:val="36"/>
          <w:szCs w:val="21"/>
          <w:highlight w:val="none"/>
        </w:rPr>
      </w:pPr>
    </w:p>
    <w:p w14:paraId="6CD15E0C">
      <w:pPr>
        <w:ind w:firstLine="1084"/>
        <w:rPr>
          <w:rFonts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14:paraId="53324B28">
      <w:pPr>
        <w:ind w:firstLine="1084"/>
        <w:rPr>
          <w:rFonts w:ascii="宋体" w:hAnsi="宋体"/>
          <w:b/>
          <w:sz w:val="36"/>
          <w:szCs w:val="21"/>
          <w:highlight w:val="none"/>
          <w:u w:val="single"/>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p>
    <w:p w14:paraId="0DFDDE49">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p>
    <w:p w14:paraId="46A5AA1E">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14:paraId="1E9B0654">
      <w:pPr>
        <w:spacing w:line="440" w:lineRule="exact"/>
        <w:jc w:val="center"/>
        <w:rPr>
          <w:rFonts w:ascii="宋体" w:hAnsi="宋体"/>
          <w:b/>
          <w:bCs/>
          <w:sz w:val="32"/>
          <w:szCs w:val="32"/>
          <w:highlight w:val="none"/>
        </w:rPr>
      </w:pPr>
    </w:p>
    <w:p w14:paraId="5DC9A9B4">
      <w:pPr>
        <w:spacing w:line="440" w:lineRule="exact"/>
        <w:rPr>
          <w:rFonts w:ascii="宋体" w:hAnsi="宋体"/>
          <w:szCs w:val="21"/>
          <w:highlight w:val="none"/>
        </w:rPr>
      </w:pPr>
    </w:p>
    <w:p w14:paraId="52156A3C">
      <w:pPr>
        <w:spacing w:line="360" w:lineRule="auto"/>
        <w:jc w:val="center"/>
        <w:rPr>
          <w:rFonts w:ascii="宋体" w:hAnsi="宋体" w:cs="宋体"/>
          <w:b/>
          <w:bCs/>
          <w:sz w:val="24"/>
          <w:szCs w:val="24"/>
          <w:highlight w:val="none"/>
        </w:rPr>
      </w:pPr>
    </w:p>
    <w:p w14:paraId="3816E949">
      <w:pPr>
        <w:spacing w:line="360" w:lineRule="auto"/>
        <w:rPr>
          <w:rFonts w:ascii="宋体" w:hAnsi="宋体" w:cs="宋体"/>
          <w:sz w:val="24"/>
          <w:szCs w:val="24"/>
          <w:highlight w:val="none"/>
        </w:rPr>
      </w:pPr>
    </w:p>
    <w:p w14:paraId="21A334A6">
      <w:pPr>
        <w:jc w:val="center"/>
        <w:rPr>
          <w:rFonts w:hint="eastAsia" w:ascii="宋体" w:hAnsi="宋体"/>
          <w:b/>
          <w:bCs/>
          <w:sz w:val="32"/>
          <w:szCs w:val="32"/>
        </w:rPr>
      </w:pPr>
      <w:r>
        <w:rPr>
          <w:rFonts w:hint="eastAsia" w:ascii="宋体" w:hAnsi="宋体" w:cs="宋体"/>
          <w:b/>
          <w:sz w:val="24"/>
          <w:szCs w:val="24"/>
          <w:highlight w:val="none"/>
          <w:u w:val="single"/>
        </w:rPr>
        <w:br w:type="page" w:clear="all"/>
      </w:r>
      <w:bookmarkEnd w:id="176"/>
      <w:bookmarkEnd w:id="177"/>
      <w:bookmarkEnd w:id="188"/>
      <w:bookmarkEnd w:id="189"/>
      <w:bookmarkEnd w:id="190"/>
      <w:r>
        <w:rPr>
          <w:rFonts w:hint="eastAsia" w:ascii="宋体" w:hAnsi="宋体"/>
          <w:b/>
          <w:bCs/>
          <w:sz w:val="32"/>
          <w:szCs w:val="32"/>
        </w:rPr>
        <w:t>响应文件目录</w:t>
      </w:r>
    </w:p>
    <w:p w14:paraId="2F17142A">
      <w:pPr>
        <w:spacing w:line="440" w:lineRule="exact"/>
        <w:jc w:val="center"/>
        <w:rPr>
          <w:rFonts w:hint="eastAsia" w:ascii="宋体" w:hAnsi="宋体"/>
          <w:b/>
          <w:bCs/>
          <w:sz w:val="32"/>
          <w:szCs w:val="32"/>
        </w:rPr>
      </w:pPr>
    </w:p>
    <w:p w14:paraId="59AD3DF3">
      <w:pPr>
        <w:keepNext w:val="0"/>
        <w:keepLines w:val="0"/>
        <w:pageBreakBefore w:val="0"/>
        <w:widowControl w:val="0"/>
        <w:spacing w:line="600" w:lineRule="exact"/>
        <w:ind w:firstLine="560"/>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一、</w:t>
      </w:r>
      <w:r>
        <w:rPr>
          <w:rFonts w:hint="eastAsia" w:ascii="宋体" w:hAnsi="宋体" w:eastAsia="宋体" w:cs="宋体"/>
          <w:b w:val="0"/>
          <w:bCs w:val="0"/>
          <w:i w:val="0"/>
          <w:sz w:val="28"/>
          <w:szCs w:val="28"/>
          <w:u w:val="none"/>
          <w:lang w:val="en-US"/>
        </w:rPr>
        <w:t>供应商信用承诺函</w:t>
      </w:r>
    </w:p>
    <w:p w14:paraId="415FCA8B">
      <w:pPr>
        <w:keepNext w:val="0"/>
        <w:keepLines w:val="0"/>
        <w:pageBreakBefore w:val="0"/>
        <w:widowControl w:val="0"/>
        <w:spacing w:line="600" w:lineRule="exact"/>
        <w:ind w:firstLine="560"/>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二</w:t>
      </w:r>
      <w:r>
        <w:rPr>
          <w:rFonts w:hint="eastAsia" w:ascii="宋体" w:hAnsi="宋体" w:eastAsia="宋体" w:cs="宋体"/>
          <w:b w:val="0"/>
          <w:bCs w:val="0"/>
          <w:i w:val="0"/>
          <w:sz w:val="28"/>
          <w:szCs w:val="28"/>
          <w:u w:val="none"/>
        </w:rPr>
        <w:t>、</w:t>
      </w:r>
      <w:r>
        <w:rPr>
          <w:rFonts w:hint="eastAsia" w:ascii="宋体" w:hAnsi="宋体" w:eastAsia="宋体" w:cs="宋体"/>
          <w:b w:val="0"/>
          <w:bCs w:val="0"/>
          <w:i w:val="0"/>
          <w:sz w:val="28"/>
          <w:szCs w:val="28"/>
          <w:u w:val="none"/>
          <w:lang w:val="en-US" w:eastAsia="zh-CN"/>
        </w:rPr>
        <w:t>满足</w:t>
      </w:r>
      <w:r>
        <w:rPr>
          <w:rFonts w:hint="eastAsia" w:ascii="宋体" w:hAnsi="宋体" w:eastAsia="宋体" w:cs="宋体"/>
          <w:b w:val="0"/>
          <w:bCs w:val="0"/>
          <w:i w:val="0"/>
          <w:sz w:val="28"/>
          <w:szCs w:val="28"/>
          <w:u w:val="none"/>
        </w:rPr>
        <w:t>特定资格要求的证明文件</w:t>
      </w:r>
      <w:r>
        <w:rPr>
          <w:rFonts w:hint="eastAsia" w:ascii="宋体" w:hAnsi="宋体" w:eastAsia="宋体" w:cs="宋体"/>
          <w:b w:val="0"/>
          <w:bCs w:val="0"/>
          <w:i w:val="0"/>
          <w:sz w:val="28"/>
          <w:szCs w:val="28"/>
          <w:u w:val="none"/>
          <w:lang w:val="en-US" w:eastAsia="zh-CN"/>
        </w:rPr>
        <w:t>（如有特定资格要求）</w:t>
      </w:r>
    </w:p>
    <w:p w14:paraId="355083A2">
      <w:pPr>
        <w:keepNext w:val="0"/>
        <w:keepLines w:val="0"/>
        <w:pageBreakBefore w:val="0"/>
        <w:widowControl w:val="0"/>
        <w:spacing w:line="600" w:lineRule="exact"/>
        <w:ind w:firstLine="560"/>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三</w:t>
      </w:r>
      <w:r>
        <w:rPr>
          <w:rFonts w:hint="eastAsia" w:ascii="宋体" w:hAnsi="宋体" w:eastAsia="宋体" w:cs="宋体"/>
          <w:b w:val="0"/>
          <w:bCs w:val="0"/>
          <w:i w:val="0"/>
          <w:sz w:val="28"/>
          <w:szCs w:val="28"/>
          <w:u w:val="none"/>
        </w:rPr>
        <w:t>、</w:t>
      </w:r>
      <w:r>
        <w:rPr>
          <w:rFonts w:hint="eastAsia" w:ascii="宋体" w:hAnsi="宋体" w:eastAsia="宋体" w:cs="宋体"/>
          <w:b w:val="0"/>
          <w:bCs w:val="0"/>
          <w:i w:val="0"/>
          <w:sz w:val="28"/>
          <w:szCs w:val="28"/>
          <w:u w:val="none"/>
          <w:lang w:val="en-US" w:eastAsia="zh-CN"/>
        </w:rPr>
        <w:t>法人授权书及委托代理人的身份证扫描件</w:t>
      </w:r>
    </w:p>
    <w:p w14:paraId="2B4C387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四</w:t>
      </w:r>
      <w:r>
        <w:rPr>
          <w:rFonts w:hint="eastAsia" w:ascii="宋体" w:hAnsi="宋体" w:eastAsia="宋体" w:cs="宋体"/>
          <w:b w:val="0"/>
          <w:bCs w:val="0"/>
          <w:i w:val="0"/>
          <w:sz w:val="28"/>
          <w:szCs w:val="28"/>
          <w:u w:val="none"/>
        </w:rPr>
        <w:t>、</w:t>
      </w:r>
      <w:r>
        <w:rPr>
          <w:rFonts w:hint="eastAsia" w:ascii="宋体" w:hAnsi="宋体" w:eastAsia="宋体" w:cs="宋体"/>
          <w:b w:val="0"/>
          <w:bCs w:val="0"/>
          <w:i w:val="0"/>
          <w:sz w:val="28"/>
          <w:szCs w:val="28"/>
          <w:u w:val="none"/>
          <w:lang w:val="en-US" w:eastAsia="zh-CN"/>
        </w:rPr>
        <w:t>磋商响应</w:t>
      </w:r>
      <w:r>
        <w:rPr>
          <w:rFonts w:hint="eastAsia" w:ascii="宋体" w:hAnsi="宋体" w:eastAsia="宋体" w:cs="宋体"/>
          <w:b w:val="0"/>
          <w:bCs w:val="0"/>
          <w:i w:val="0"/>
          <w:sz w:val="28"/>
          <w:szCs w:val="28"/>
          <w:u w:val="none"/>
        </w:rPr>
        <w:t>函</w:t>
      </w:r>
    </w:p>
    <w:p w14:paraId="2CA3BE96">
      <w:pPr>
        <w:keepNext w:val="0"/>
        <w:keepLines w:val="0"/>
        <w:pageBreakBefore w:val="0"/>
        <w:widowControl w:val="0"/>
        <w:spacing w:line="600" w:lineRule="exact"/>
        <w:ind w:firstLine="560"/>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五、</w:t>
      </w:r>
      <w:r>
        <w:rPr>
          <w:rFonts w:hint="eastAsia" w:ascii="宋体" w:hAnsi="宋体" w:eastAsia="宋体" w:cs="宋体"/>
          <w:b w:val="0"/>
          <w:bCs w:val="0"/>
          <w:i w:val="0"/>
          <w:sz w:val="28"/>
          <w:szCs w:val="28"/>
          <w:u w:val="none"/>
          <w:lang w:val="en-US" w:eastAsia="zh-CN"/>
        </w:rPr>
        <w:t>磋商报价表</w:t>
      </w:r>
    </w:p>
    <w:p w14:paraId="4123DE6D">
      <w:pPr>
        <w:keepNext w:val="0"/>
        <w:keepLines w:val="0"/>
        <w:pageBreakBefore w:val="0"/>
        <w:widowControl w:val="0"/>
        <w:spacing w:line="600" w:lineRule="exact"/>
        <w:ind w:firstLine="560"/>
        <w:rPr>
          <w:rFonts w:hint="eastAsia" w:ascii="宋体" w:hAnsi="宋体" w:eastAsia="宋体" w:cs="宋体"/>
          <w:b w:val="0"/>
          <w:bCs w:val="0"/>
          <w:i w:val="0"/>
          <w:sz w:val="28"/>
          <w:szCs w:val="28"/>
          <w:u w:val="none"/>
        </w:rPr>
      </w:pPr>
      <w:r>
        <w:rPr>
          <w:rFonts w:ascii="宋体" w:hAnsi="宋体" w:eastAsia="宋体" w:cs="宋体"/>
          <w:b w:val="0"/>
          <w:bCs w:val="0"/>
          <w:i w:val="0"/>
          <w:sz w:val="28"/>
          <w:szCs w:val="28"/>
          <w:u w:val="none"/>
          <w:lang w:eastAsia="zh-CN"/>
        </w:rPr>
        <w:t>六</w:t>
      </w:r>
      <w:r>
        <w:rPr>
          <w:rFonts w:hint="eastAsia" w:ascii="宋体" w:hAnsi="宋体" w:eastAsia="宋体" w:cs="宋体"/>
          <w:b w:val="0"/>
          <w:bCs w:val="0"/>
          <w:i w:val="0"/>
          <w:sz w:val="28"/>
          <w:szCs w:val="28"/>
          <w:u w:val="none"/>
        </w:rPr>
        <w:t>、分项报价表</w:t>
      </w:r>
    </w:p>
    <w:p w14:paraId="0167B332">
      <w:pPr>
        <w:keepNext w:val="0"/>
        <w:keepLines w:val="0"/>
        <w:pageBreakBefore w:val="0"/>
        <w:widowControl w:val="0"/>
        <w:spacing w:line="600" w:lineRule="exact"/>
        <w:ind w:firstLine="560"/>
        <w:rPr>
          <w:rFonts w:hint="default" w:ascii="宋体" w:hAnsi="宋体" w:eastAsia="宋体" w:cs="宋体"/>
          <w:b w:val="0"/>
          <w:bCs w:val="0"/>
          <w:iCs w:val="0"/>
          <w:sz w:val="28"/>
          <w:szCs w:val="28"/>
          <w:lang w:val="en-US" w:eastAsia="zh-CN"/>
        </w:rPr>
      </w:pPr>
      <w:r>
        <w:rPr>
          <w:rFonts w:hint="eastAsia" w:ascii="宋体" w:hAnsi="宋体" w:cs="宋体"/>
          <w:b w:val="0"/>
          <w:bCs w:val="0"/>
          <w:iCs w:val="0"/>
          <w:sz w:val="28"/>
          <w:szCs w:val="28"/>
          <w:lang w:val="en-US" w:eastAsia="zh-CN"/>
        </w:rPr>
        <w:t>七、核心产品品牌一览表</w:t>
      </w:r>
    </w:p>
    <w:p w14:paraId="67DFF0F7">
      <w:pPr>
        <w:keepNext w:val="0"/>
        <w:keepLines w:val="0"/>
        <w:pageBreakBefore w:val="0"/>
        <w:widowControl w:val="0"/>
        <w:spacing w:line="600" w:lineRule="exact"/>
        <w:ind w:firstLine="560"/>
        <w:rPr>
          <w:rFonts w:ascii="宋体" w:hAnsi="宋体"/>
          <w:sz w:val="24"/>
        </w:rPr>
      </w:pPr>
      <w:r>
        <w:rPr>
          <w:rFonts w:hint="eastAsia" w:ascii="宋体" w:hAnsi="宋体" w:eastAsia="宋体" w:cs="宋体"/>
          <w:b w:val="0"/>
          <w:bCs w:val="0"/>
          <w:iCs w:val="0"/>
          <w:sz w:val="28"/>
          <w:szCs w:val="28"/>
          <w:lang w:eastAsia="zh-CN"/>
        </w:rPr>
        <w:t>八</w:t>
      </w:r>
      <w:r>
        <w:rPr>
          <w:rFonts w:hint="eastAsia" w:ascii="宋体" w:hAnsi="宋体" w:eastAsia="宋体" w:cs="宋体"/>
          <w:sz w:val="28"/>
          <w:szCs w:val="28"/>
        </w:rPr>
        <w:t>、</w:t>
      </w:r>
      <w:r>
        <w:rPr>
          <w:rFonts w:hint="eastAsia" w:ascii="宋体" w:hAnsi="宋体" w:eastAsia="宋体" w:cs="宋体"/>
          <w:b w:val="0"/>
          <w:bCs w:val="0"/>
          <w:iCs w:val="0"/>
          <w:sz w:val="28"/>
          <w:szCs w:val="28"/>
        </w:rPr>
        <w:t>技术要求响应及偏离表</w:t>
      </w:r>
    </w:p>
    <w:p w14:paraId="21E40219">
      <w:pPr>
        <w:keepNext w:val="0"/>
        <w:keepLines w:val="0"/>
        <w:pageBreakBefore w:val="0"/>
        <w:widowControl w:val="0"/>
        <w:spacing w:line="600" w:lineRule="exact"/>
        <w:ind w:firstLine="560"/>
        <w:rPr>
          <w:rFonts w:hint="eastAsia" w:ascii="宋体" w:hAnsi="宋体" w:eastAsia="宋体" w:cs="宋体"/>
          <w:b w:val="0"/>
          <w:bCs w:val="0"/>
          <w:iCs w:val="0"/>
          <w:sz w:val="28"/>
          <w:szCs w:val="28"/>
        </w:rPr>
      </w:pPr>
      <w:r>
        <w:rPr>
          <w:rFonts w:hint="eastAsia" w:ascii="宋体" w:hAnsi="宋体" w:cs="宋体"/>
          <w:b w:val="0"/>
          <w:bCs w:val="0"/>
          <w:iCs w:val="0"/>
          <w:sz w:val="28"/>
          <w:szCs w:val="28"/>
          <w:lang w:val="en-US" w:eastAsia="zh-CN"/>
        </w:rPr>
        <w:t>九</w:t>
      </w:r>
      <w:r>
        <w:rPr>
          <w:rFonts w:hint="eastAsia" w:ascii="宋体" w:hAnsi="宋体" w:eastAsia="宋体" w:cs="宋体"/>
          <w:b w:val="0"/>
          <w:bCs w:val="0"/>
          <w:iCs w:val="0"/>
          <w:sz w:val="28"/>
          <w:szCs w:val="28"/>
        </w:rPr>
        <w:t>、商务要求响应及偏离表</w:t>
      </w:r>
    </w:p>
    <w:p w14:paraId="38E66C14">
      <w:pPr>
        <w:keepNext w:val="0"/>
        <w:keepLines w:val="0"/>
        <w:pageBreakBefore w:val="0"/>
        <w:widowControl w:val="0"/>
        <w:spacing w:line="600" w:lineRule="exact"/>
        <w:ind w:firstLine="560"/>
        <w:rPr>
          <w:rFonts w:hint="eastAsia" w:ascii="宋体" w:hAnsi="宋体" w:eastAsia="宋体" w:cs="宋体"/>
          <w:b w:val="0"/>
          <w:bCs w:val="0"/>
          <w:iCs w:val="0"/>
          <w:sz w:val="28"/>
          <w:szCs w:val="28"/>
        </w:rPr>
      </w:pPr>
      <w:r>
        <w:rPr>
          <w:rFonts w:hint="eastAsia" w:ascii="宋体" w:hAnsi="宋体" w:cs="宋体"/>
          <w:b w:val="0"/>
          <w:bCs w:val="0"/>
          <w:iCs w:val="0"/>
          <w:sz w:val="28"/>
          <w:szCs w:val="28"/>
          <w:lang w:val="en-US" w:eastAsia="zh-CN"/>
        </w:rPr>
        <w:t>十</w:t>
      </w:r>
      <w:r>
        <w:rPr>
          <w:rFonts w:hint="eastAsia" w:ascii="宋体" w:hAnsi="宋体" w:eastAsia="宋体" w:cs="宋体"/>
          <w:b w:val="0"/>
          <w:bCs w:val="0"/>
          <w:iCs w:val="0"/>
          <w:sz w:val="28"/>
          <w:szCs w:val="28"/>
          <w:lang w:eastAsia="zh-CN"/>
        </w:rPr>
        <w:t>九</w:t>
      </w:r>
      <w:r>
        <w:rPr>
          <w:rFonts w:hint="eastAsia" w:ascii="宋体" w:hAnsi="宋体" w:eastAsia="宋体" w:cs="宋体"/>
          <w:b w:val="0"/>
          <w:bCs w:val="0"/>
          <w:iCs w:val="0"/>
          <w:sz w:val="28"/>
          <w:szCs w:val="28"/>
        </w:rPr>
        <w:t>、</w:t>
      </w:r>
      <w:r>
        <w:rPr>
          <w:rFonts w:hint="eastAsia" w:ascii="宋体" w:hAnsi="宋体" w:eastAsia="宋体" w:cs="宋体"/>
          <w:b w:val="0"/>
          <w:bCs w:val="0"/>
          <w:i w:val="0"/>
          <w:sz w:val="28"/>
          <w:szCs w:val="28"/>
          <w:u w:val="none"/>
          <w:lang w:val="en-US" w:eastAsia="zh-CN"/>
        </w:rPr>
        <w:t>中</w:t>
      </w:r>
      <w:r>
        <w:rPr>
          <w:rFonts w:hint="eastAsia" w:ascii="宋体" w:hAnsi="宋体" w:eastAsia="宋体" w:cs="宋体"/>
          <w:b w:val="0"/>
          <w:bCs w:val="0"/>
          <w:i w:val="0"/>
          <w:sz w:val="28"/>
          <w:szCs w:val="28"/>
          <w:u w:val="none"/>
        </w:rPr>
        <w:t>小企业声明函</w:t>
      </w:r>
      <w:r>
        <w:rPr>
          <w:rFonts w:hint="eastAsia" w:ascii="宋体" w:hAnsi="宋体" w:eastAsia="宋体" w:cs="宋体"/>
          <w:b w:val="0"/>
          <w:bCs w:val="0"/>
          <w:i w:val="0"/>
          <w:sz w:val="28"/>
          <w:szCs w:val="28"/>
          <w:u w:val="none"/>
          <w:lang w:eastAsia="zh-CN"/>
        </w:rPr>
        <w:t>（</w:t>
      </w:r>
      <w:r>
        <w:rPr>
          <w:rFonts w:hint="eastAsia" w:ascii="宋体" w:hAnsi="宋体" w:eastAsia="宋体" w:cs="宋体"/>
          <w:b w:val="0"/>
          <w:bCs w:val="0"/>
          <w:i w:val="0"/>
          <w:sz w:val="28"/>
          <w:szCs w:val="28"/>
          <w:u w:val="none"/>
          <w:lang w:val="en-US" w:eastAsia="zh-CN"/>
        </w:rPr>
        <w:t>如有</w:t>
      </w:r>
      <w:r>
        <w:rPr>
          <w:rFonts w:hint="eastAsia" w:ascii="宋体" w:hAnsi="宋体" w:eastAsia="宋体" w:cs="宋体"/>
          <w:b w:val="0"/>
          <w:bCs w:val="0"/>
          <w:i w:val="0"/>
          <w:sz w:val="28"/>
          <w:szCs w:val="28"/>
          <w:u w:val="none"/>
          <w:lang w:eastAsia="zh-CN"/>
        </w:rPr>
        <w:t>）</w:t>
      </w:r>
    </w:p>
    <w:p w14:paraId="338D3244">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十</w:t>
      </w:r>
      <w:r>
        <w:rPr>
          <w:rFonts w:hint="eastAsia" w:ascii="宋体" w:hAnsi="宋体" w:cs="宋体"/>
          <w:b w:val="0"/>
          <w:bCs w:val="0"/>
          <w:i w:val="0"/>
          <w:sz w:val="28"/>
          <w:szCs w:val="28"/>
          <w:u w:val="none"/>
          <w:lang w:val="en-US" w:eastAsia="zh-CN"/>
        </w:rPr>
        <w:t>一</w:t>
      </w:r>
      <w:r>
        <w:rPr>
          <w:rFonts w:hint="eastAsia" w:ascii="宋体" w:hAnsi="宋体" w:eastAsia="宋体" w:cs="宋体"/>
          <w:b w:val="0"/>
          <w:bCs w:val="0"/>
          <w:i w:val="0"/>
          <w:sz w:val="28"/>
          <w:szCs w:val="28"/>
          <w:u w:val="none"/>
          <w:lang w:val="en-US" w:eastAsia="zh-CN"/>
        </w:rPr>
        <w:t>、</w:t>
      </w:r>
      <w:r>
        <w:rPr>
          <w:rFonts w:hint="eastAsia" w:ascii="宋体" w:hAnsi="宋体" w:eastAsia="宋体" w:cs="宋体"/>
          <w:b w:val="0"/>
          <w:bCs w:val="0"/>
          <w:i w:val="0"/>
          <w:sz w:val="28"/>
          <w:szCs w:val="28"/>
          <w:u w:val="none"/>
        </w:rPr>
        <w:t>残疾人福利性单位声明函</w:t>
      </w:r>
      <w:r>
        <w:rPr>
          <w:rFonts w:hint="eastAsia" w:ascii="宋体" w:hAnsi="宋体" w:eastAsia="宋体" w:cs="宋体"/>
          <w:b w:val="0"/>
          <w:bCs w:val="0"/>
          <w:i w:val="0"/>
          <w:sz w:val="28"/>
          <w:szCs w:val="28"/>
          <w:u w:val="none"/>
          <w:lang w:eastAsia="zh-CN"/>
        </w:rPr>
        <w:t>（</w:t>
      </w:r>
      <w:r>
        <w:rPr>
          <w:rFonts w:hint="eastAsia" w:ascii="宋体" w:hAnsi="宋体" w:eastAsia="宋体" w:cs="宋体"/>
          <w:b w:val="0"/>
          <w:bCs w:val="0"/>
          <w:i w:val="0"/>
          <w:sz w:val="28"/>
          <w:szCs w:val="28"/>
          <w:u w:val="none"/>
          <w:lang w:val="en-US" w:eastAsia="zh-CN"/>
        </w:rPr>
        <w:t>如有</w:t>
      </w:r>
      <w:r>
        <w:rPr>
          <w:rFonts w:hint="eastAsia" w:ascii="宋体" w:hAnsi="宋体" w:eastAsia="宋体" w:cs="宋体"/>
          <w:b w:val="0"/>
          <w:bCs w:val="0"/>
          <w:i w:val="0"/>
          <w:sz w:val="28"/>
          <w:szCs w:val="28"/>
          <w:u w:val="none"/>
          <w:lang w:eastAsia="zh-CN"/>
        </w:rPr>
        <w:t>）</w:t>
      </w:r>
    </w:p>
    <w:p w14:paraId="2972863E">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十</w:t>
      </w:r>
      <w:r>
        <w:rPr>
          <w:rFonts w:hint="eastAsia" w:ascii="宋体" w:hAnsi="宋体" w:cs="宋体"/>
          <w:b w:val="0"/>
          <w:bCs w:val="0"/>
          <w:i w:val="0"/>
          <w:sz w:val="28"/>
          <w:szCs w:val="28"/>
          <w:u w:val="none"/>
          <w:lang w:val="en-US" w:eastAsia="zh-CN"/>
        </w:rPr>
        <w:t>二</w:t>
      </w:r>
      <w:r>
        <w:rPr>
          <w:rFonts w:hint="eastAsia" w:ascii="宋体" w:hAnsi="宋体" w:eastAsia="宋体" w:cs="宋体"/>
          <w:b w:val="0"/>
          <w:bCs w:val="0"/>
          <w:i w:val="0"/>
          <w:sz w:val="28"/>
          <w:szCs w:val="28"/>
          <w:u w:val="none"/>
        </w:rPr>
        <w:t>、联合体协议</w:t>
      </w:r>
      <w:r>
        <w:rPr>
          <w:rFonts w:hint="eastAsia" w:ascii="宋体" w:hAnsi="宋体" w:eastAsia="宋体" w:cs="宋体"/>
          <w:b w:val="0"/>
          <w:bCs w:val="0"/>
          <w:i w:val="0"/>
          <w:sz w:val="28"/>
          <w:szCs w:val="28"/>
          <w:u w:val="none"/>
          <w:lang w:eastAsia="zh-CN"/>
        </w:rPr>
        <w:t>（</w:t>
      </w:r>
      <w:r>
        <w:rPr>
          <w:rFonts w:hint="eastAsia" w:ascii="宋体" w:hAnsi="宋体" w:eastAsia="宋体" w:cs="宋体"/>
          <w:b w:val="0"/>
          <w:bCs w:val="0"/>
          <w:i w:val="0"/>
          <w:sz w:val="28"/>
          <w:szCs w:val="28"/>
          <w:u w:val="none"/>
          <w:lang w:val="en-US" w:eastAsia="zh-CN"/>
        </w:rPr>
        <w:t>如有</w:t>
      </w:r>
      <w:r>
        <w:rPr>
          <w:rFonts w:hint="eastAsia" w:ascii="宋体" w:hAnsi="宋体" w:eastAsia="宋体" w:cs="宋体"/>
          <w:b w:val="0"/>
          <w:bCs w:val="0"/>
          <w:i w:val="0"/>
          <w:sz w:val="28"/>
          <w:szCs w:val="28"/>
          <w:u w:val="none"/>
          <w:lang w:eastAsia="zh-CN"/>
        </w:rPr>
        <w:t>）</w:t>
      </w:r>
    </w:p>
    <w:p w14:paraId="2B488496">
      <w:pPr>
        <w:keepNext w:val="0"/>
        <w:keepLines w:val="0"/>
        <w:pageBreakBefore w:val="0"/>
        <w:widowControl w:val="0"/>
        <w:spacing w:line="600" w:lineRule="exact"/>
        <w:ind w:firstLine="560"/>
        <w:rPr>
          <w:rFonts w:hint="eastAsia" w:ascii="宋体" w:hAnsi="宋体" w:eastAsia="宋体" w:cs="宋体"/>
          <w:b w:val="0"/>
          <w:bCs w:val="0"/>
          <w:iCs w:val="0"/>
          <w:sz w:val="28"/>
          <w:szCs w:val="28"/>
        </w:rPr>
      </w:pPr>
    </w:p>
    <w:p w14:paraId="36F2DBC0">
      <w:pPr>
        <w:spacing w:line="440" w:lineRule="exact"/>
        <w:ind w:firstLine="480"/>
        <w:rPr>
          <w:rFonts w:ascii="宋体" w:hAnsi="宋体"/>
          <w:sz w:val="24"/>
          <w:szCs w:val="21"/>
        </w:rPr>
      </w:pPr>
    </w:p>
    <w:p w14:paraId="578C2213">
      <w:pPr>
        <w:spacing w:line="440" w:lineRule="exact"/>
        <w:ind w:firstLine="480"/>
        <w:rPr>
          <w:rFonts w:ascii="宋体" w:hAnsi="宋体"/>
          <w:sz w:val="24"/>
          <w:szCs w:val="21"/>
        </w:rPr>
      </w:pPr>
    </w:p>
    <w:p w14:paraId="639366A7">
      <w:pPr>
        <w:spacing w:line="440" w:lineRule="exact"/>
        <w:ind w:firstLine="480"/>
        <w:rPr>
          <w:rFonts w:ascii="宋体" w:hAnsi="宋体"/>
          <w:sz w:val="24"/>
          <w:szCs w:val="21"/>
        </w:rPr>
      </w:pPr>
    </w:p>
    <w:p w14:paraId="4C53C363">
      <w:pPr>
        <w:spacing w:line="440" w:lineRule="exact"/>
        <w:ind w:firstLine="480"/>
        <w:rPr>
          <w:rFonts w:ascii="宋体" w:hAnsi="宋体"/>
          <w:sz w:val="24"/>
          <w:szCs w:val="21"/>
        </w:rPr>
      </w:pPr>
    </w:p>
    <w:p w14:paraId="28BA82D8">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一、供应商信用承诺函</w:t>
      </w:r>
    </w:p>
    <w:p w14:paraId="677EC7D6">
      <w:pPr>
        <w:spacing w:line="360" w:lineRule="auto"/>
        <w:jc w:val="center"/>
        <w:outlineLvl w:val="2"/>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供应商信用承诺函</w:t>
      </w:r>
    </w:p>
    <w:p w14:paraId="7A9A3A1F">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南京市公共资源交易中心江北新区分中心</w:t>
      </w:r>
      <w:r>
        <w:rPr>
          <w:rFonts w:hint="eastAsia" w:ascii="宋体" w:hAnsi="宋体" w:eastAsia="宋体" w:cs="Times New Roman"/>
          <w:color w:val="000000"/>
          <w:sz w:val="24"/>
          <w:szCs w:val="24"/>
        </w:rPr>
        <w:t>：</w:t>
      </w:r>
    </w:p>
    <w:p w14:paraId="6EF33CEF">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（供应商名称）郑重承诺：</w:t>
      </w:r>
    </w:p>
    <w:p w14:paraId="72C83A11">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我公司符合下列要求：</w:t>
      </w:r>
    </w:p>
    <w:p w14:paraId="4A3B86D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(一)具有独立承担民事责任的能力；</w:t>
      </w:r>
    </w:p>
    <w:p w14:paraId="7367E741">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(二)具有良好的商业信誉和健全的财务会计制度；</w:t>
      </w:r>
    </w:p>
    <w:p w14:paraId="090C2A4F">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(三)具有履行合同所必需的设备和专业技术能力；</w:t>
      </w:r>
    </w:p>
    <w:p w14:paraId="0E2FB22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(四)有依法缴纳税收和社会保障资金的良好记录；</w:t>
      </w:r>
    </w:p>
    <w:p w14:paraId="4C828FCA">
      <w:pPr>
        <w:spacing w:line="460" w:lineRule="exact"/>
        <w:ind w:firstLine="49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(五)参加政府采购活动前三年内，在经营活动中没有重大违法记录</w:t>
      </w:r>
      <w:r>
        <w:rPr>
          <w:rFonts w:hint="eastAsia" w:ascii="宋体" w:hAnsi="宋体" w:eastAsia="宋体" w:cs="Times New Roman"/>
          <w:color w:val="000000"/>
          <w:sz w:val="24"/>
          <w:szCs w:val="24"/>
          <w:lang w:eastAsia="zh-CN"/>
        </w:rPr>
        <w:t>。</w:t>
      </w:r>
    </w:p>
    <w:p w14:paraId="0B5EB3B4">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如果我公司</w:t>
      </w:r>
      <w:r>
        <w:rPr>
          <w:rFonts w:hint="eastAsia" w:ascii="宋体" w:hAnsi="宋体" w:eastAsia="宋体" w:cs="Times New Roman"/>
          <w:color w:val="000000"/>
          <w:sz w:val="24"/>
          <w:szCs w:val="24"/>
          <w:lang w:eastAsia="zh-CN"/>
        </w:rPr>
        <w:t>成交</w:t>
      </w:r>
      <w:r>
        <w:rPr>
          <w:rFonts w:hint="eastAsia" w:ascii="宋体" w:hAnsi="宋体" w:eastAsia="宋体" w:cs="Times New Roman"/>
          <w:color w:val="000000"/>
          <w:sz w:val="24"/>
          <w:szCs w:val="24"/>
        </w:rPr>
        <w:t>，将在</w:t>
      </w:r>
      <w:r>
        <w:rPr>
          <w:rFonts w:hint="eastAsia" w:ascii="宋体" w:hAnsi="宋体" w:eastAsia="宋体" w:cs="Times New Roman"/>
          <w:color w:val="000000"/>
          <w:sz w:val="24"/>
          <w:szCs w:val="24"/>
          <w:lang w:eastAsia="zh-CN"/>
        </w:rPr>
        <w:t>成交</w:t>
      </w:r>
      <w:r>
        <w:rPr>
          <w:rFonts w:hint="eastAsia" w:ascii="宋体" w:hAnsi="宋体" w:eastAsia="宋体" w:cs="Times New Roman"/>
          <w:color w:val="000000"/>
          <w:sz w:val="24"/>
          <w:szCs w:val="24"/>
        </w:rPr>
        <w:t>结果公示后七个工作日内向采购人提供下列材料核验：</w:t>
      </w:r>
    </w:p>
    <w:p w14:paraId="1439A5DB">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（1）营业执照副本或事业单位法人登记证书</w:t>
      </w:r>
      <w:r>
        <w:rPr>
          <w:rFonts w:hint="eastAsia" w:ascii="宋体" w:hAnsi="宋体" w:cs="Times New Roman"/>
          <w:color w:val="000000"/>
          <w:sz w:val="24"/>
          <w:szCs w:val="24"/>
          <w:lang w:val="en-US" w:eastAsia="zh-CN"/>
        </w:rPr>
        <w:t>或其他证明材料</w:t>
      </w:r>
      <w:r>
        <w:rPr>
          <w:rFonts w:hint="eastAsia" w:ascii="宋体" w:hAnsi="宋体" w:eastAsia="宋体" w:cs="Times New Roman"/>
          <w:color w:val="000000"/>
          <w:sz w:val="24"/>
          <w:szCs w:val="24"/>
        </w:rPr>
        <w:t>；</w:t>
      </w:r>
    </w:p>
    <w:p w14:paraId="6D372C65">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48E1233D">
      <w:pPr>
        <w:spacing w:line="460" w:lineRule="exact"/>
        <w:ind w:firstLine="49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履行合同所必需的设备和专业技术能力</w:t>
      </w:r>
      <w:r>
        <w:rPr>
          <w:rFonts w:hint="eastAsia" w:ascii="宋体" w:hAnsi="宋体" w:eastAsia="宋体" w:cs="Times New Roman"/>
          <w:color w:val="000000"/>
          <w:sz w:val="24"/>
          <w:szCs w:val="24"/>
          <w:lang w:eastAsia="zh-CN"/>
        </w:rPr>
        <w:t>证明材料；</w:t>
      </w:r>
    </w:p>
    <w:p w14:paraId="0450BEAD">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）参加本次政府采购活动前一年内至少一个月依法缴纳税收和社会保障资金的证明材料。</w:t>
      </w:r>
    </w:p>
    <w:p w14:paraId="280EBAF1">
      <w:pPr>
        <w:spacing w:line="460" w:lineRule="exact"/>
        <w:ind w:firstLine="492"/>
        <w:rPr>
          <w:rFonts w:hint="eastAsia"/>
          <w:color w:val="000000"/>
          <w:sz w:val="24"/>
          <w:szCs w:val="24"/>
        </w:rPr>
      </w:pPr>
      <w:r>
        <w:rPr>
          <w:rFonts w:hint="eastAsia"/>
          <w:color w:val="000000"/>
          <w:sz w:val="24"/>
          <w:szCs w:val="24"/>
        </w:rPr>
        <w:t>本公司对上述承诺</w:t>
      </w:r>
      <w:r>
        <w:rPr>
          <w:rFonts w:hint="eastAsia"/>
          <w:color w:val="000000"/>
          <w:sz w:val="24"/>
          <w:szCs w:val="24"/>
          <w:lang w:eastAsia="zh-CN"/>
        </w:rPr>
        <w:t>内容</w:t>
      </w:r>
      <w:r>
        <w:rPr>
          <w:rFonts w:hint="eastAsia"/>
          <w:color w:val="000000"/>
          <w:sz w:val="24"/>
          <w:szCs w:val="24"/>
        </w:rPr>
        <w:t>的真实性</w:t>
      </w:r>
      <w:r>
        <w:rPr>
          <w:rFonts w:hint="eastAsia"/>
          <w:color w:val="000000"/>
          <w:sz w:val="24"/>
          <w:szCs w:val="24"/>
          <w:lang w:eastAsia="zh-CN"/>
        </w:rPr>
        <w:t>、合法性、有效性</w:t>
      </w:r>
      <w:r>
        <w:rPr>
          <w:rFonts w:hint="eastAsia"/>
          <w:color w:val="000000"/>
          <w:sz w:val="24"/>
          <w:szCs w:val="24"/>
        </w:rPr>
        <w:t>负责，如有虚假，将依法承担相应责任。</w:t>
      </w:r>
    </w:p>
    <w:p w14:paraId="28417569">
      <w:pPr>
        <w:spacing w:line="460" w:lineRule="exact"/>
        <w:ind w:firstLine="492"/>
        <w:rPr>
          <w:color w:val="000000"/>
          <w:sz w:val="24"/>
          <w:szCs w:val="24"/>
        </w:rPr>
      </w:pPr>
    </w:p>
    <w:p w14:paraId="44D41203">
      <w:pPr>
        <w:pStyle w:val="348"/>
        <w:rPr>
          <w:color w:val="000000"/>
          <w:sz w:val="24"/>
          <w:szCs w:val="24"/>
        </w:rPr>
      </w:pPr>
    </w:p>
    <w:p w14:paraId="7A0A7092">
      <w:pPr>
        <w:spacing w:line="560" w:lineRule="exact"/>
        <w:ind w:right="180" w:firstLine="360"/>
        <w:jc w:val="righ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rPr>
        <w:t>（加盖电子公章）</w:t>
      </w:r>
    </w:p>
    <w:p w14:paraId="36518B1A">
      <w:pPr>
        <w:spacing w:line="560" w:lineRule="exact"/>
        <w:ind w:firstLine="6240"/>
        <w:rPr>
          <w:rFonts w:hint="eastAsia" w:ascii="宋体" w:hAnsi="宋体"/>
          <w:sz w:val="24"/>
          <w:szCs w:val="24"/>
        </w:rPr>
      </w:pPr>
      <w:r>
        <w:rPr>
          <w:rFonts w:hint="eastAsia"/>
          <w:color w:val="000000"/>
          <w:sz w:val="24"/>
          <w:szCs w:val="24"/>
        </w:rPr>
        <w:t>日  期：</w:t>
      </w:r>
    </w:p>
    <w:p w14:paraId="08B031B0">
      <w:pPr>
        <w:rPr>
          <w:sz w:val="24"/>
          <w:szCs w:val="24"/>
        </w:rPr>
      </w:pPr>
    </w:p>
    <w:p w14:paraId="695FBF47">
      <w:pPr>
        <w:spacing w:line="440" w:lineRule="exact"/>
        <w:rPr>
          <w:rFonts w:hint="eastAsia" w:ascii="宋体" w:hAnsi="宋体"/>
          <w:sz w:val="24"/>
          <w:szCs w:val="24"/>
          <w:lang w:eastAsia="zh-CN"/>
        </w:rPr>
      </w:pPr>
    </w:p>
    <w:p w14:paraId="13FF3169">
      <w:pPr>
        <w:spacing w:line="440" w:lineRule="exact"/>
        <w:ind w:firstLine="480"/>
        <w:rPr>
          <w:rFonts w:hint="eastAsia" w:ascii="宋体" w:hAnsi="宋体"/>
          <w:b w:val="0"/>
          <w:bCs w:val="0"/>
          <w:sz w:val="24"/>
          <w:szCs w:val="24"/>
          <w:lang w:eastAsia="zh-CN"/>
        </w:rPr>
      </w:pPr>
    </w:p>
    <w:p w14:paraId="0331ADCE">
      <w:pPr>
        <w:spacing w:line="440" w:lineRule="exact"/>
        <w:ind w:firstLine="480"/>
        <w:rPr>
          <w:rFonts w:hint="eastAsia" w:ascii="宋体" w:hAnsi="宋体"/>
          <w:b w:val="0"/>
          <w:bCs w:val="0"/>
          <w:sz w:val="24"/>
          <w:szCs w:val="24"/>
          <w:lang w:eastAsia="zh-CN"/>
        </w:rPr>
      </w:pPr>
    </w:p>
    <w:p w14:paraId="1881A909">
      <w:pPr>
        <w:spacing w:line="440" w:lineRule="exact"/>
        <w:ind w:firstLine="480"/>
        <w:rPr>
          <w:rFonts w:hint="eastAsia" w:ascii="宋体" w:hAnsi="宋体"/>
          <w:b w:val="0"/>
          <w:bCs w:val="0"/>
          <w:sz w:val="24"/>
          <w:szCs w:val="24"/>
          <w:lang w:eastAsia="zh-CN"/>
        </w:rPr>
      </w:pPr>
    </w:p>
    <w:p w14:paraId="260C20DE">
      <w:pPr>
        <w:spacing w:line="440" w:lineRule="exact"/>
        <w:rPr>
          <w:rFonts w:hint="eastAsia" w:ascii="宋体" w:hAnsi="宋体"/>
          <w:b/>
          <w:bCs/>
          <w:sz w:val="21"/>
          <w:szCs w:val="21"/>
          <w:lang w:eastAsia="zh-CN"/>
        </w:rPr>
      </w:pPr>
    </w:p>
    <w:p w14:paraId="30F97667">
      <w:pPr>
        <w:pStyle w:val="245"/>
        <w:rPr>
          <w:rFonts w:hint="eastAsia"/>
        </w:rPr>
      </w:pPr>
    </w:p>
    <w:p w14:paraId="7953CA0D">
      <w:pPr>
        <w:rPr>
          <w:rFonts w:hint="eastAsia" w:ascii="黑体" w:hAnsi="黑体" w:eastAsia="黑体" w:cs="Times New Roman"/>
          <w:i w:val="0"/>
          <w:color w:val="000000"/>
          <w:sz w:val="32"/>
          <w:szCs w:val="32"/>
          <w:u w:val="none"/>
          <w:lang w:val="en-US" w:eastAsia="zh-CN"/>
        </w:rPr>
      </w:pPr>
      <w:bookmarkStart w:id="191" w:name="_Toc120614284"/>
      <w:r>
        <w:rPr>
          <w:rFonts w:hint="eastAsia" w:ascii="黑体" w:hAnsi="黑体" w:eastAsia="黑体" w:cs="Times New Roman"/>
          <w:i w:val="0"/>
          <w:color w:val="000000"/>
          <w:sz w:val="32"/>
          <w:szCs w:val="32"/>
          <w:u w:val="none"/>
          <w:lang w:val="en-US" w:eastAsia="zh-CN"/>
        </w:rPr>
        <w:t>二、特定资格要求的证明文件</w:t>
      </w:r>
    </w:p>
    <w:p w14:paraId="10094042">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材料</w:t>
      </w:r>
      <w:r>
        <w:rPr>
          <w:rFonts w:hint="eastAsia" w:ascii="宋体" w:hAnsi="宋体"/>
          <w:sz w:val="24"/>
          <w:szCs w:val="21"/>
        </w:rPr>
        <w:t>。</w:t>
      </w:r>
    </w:p>
    <w:p w14:paraId="28A4253D">
      <w:pPr>
        <w:spacing w:line="460" w:lineRule="exact"/>
        <w:rPr>
          <w:rFonts w:hint="eastAsia" w:ascii="宋体" w:hAnsi="宋体"/>
          <w:bCs/>
          <w:sz w:val="24"/>
          <w:szCs w:val="21"/>
        </w:rPr>
      </w:pPr>
    </w:p>
    <w:p w14:paraId="225E0D15">
      <w:pPr>
        <w:jc w:val="left"/>
        <w:rPr>
          <w:rFonts w:hint="eastAsia" w:ascii="黑体" w:hAnsi="黑体" w:eastAsia="黑体"/>
          <w:i/>
          <w:sz w:val="32"/>
          <w:szCs w:val="32"/>
          <w:u w:val="single"/>
          <w:lang w:val="en-US" w:eastAsia="zh-CN"/>
        </w:rPr>
      </w:pPr>
    </w:p>
    <w:p w14:paraId="11282E40">
      <w:pPr>
        <w:jc w:val="left"/>
        <w:rPr>
          <w:rFonts w:hint="eastAsia" w:ascii="黑体" w:hAnsi="黑体" w:eastAsia="黑体"/>
          <w:i/>
          <w:sz w:val="32"/>
          <w:szCs w:val="32"/>
          <w:u w:val="single"/>
          <w:lang w:val="en-US" w:eastAsia="zh-CN"/>
        </w:rPr>
      </w:pPr>
    </w:p>
    <w:p w14:paraId="2EA7002A">
      <w:pPr>
        <w:jc w:val="left"/>
        <w:rPr>
          <w:rFonts w:hint="eastAsia" w:ascii="黑体" w:hAnsi="黑体" w:eastAsia="黑体"/>
          <w:i/>
          <w:sz w:val="32"/>
          <w:szCs w:val="32"/>
          <w:u w:val="single"/>
          <w:lang w:val="en-US" w:eastAsia="zh-CN"/>
        </w:rPr>
      </w:pPr>
    </w:p>
    <w:p w14:paraId="0170E21B">
      <w:pPr>
        <w:rPr>
          <w:rFonts w:hint="eastAsia" w:ascii="黑体" w:hAnsi="黑体" w:eastAsia="黑体" w:cs="Times New Roman"/>
          <w:i w:val="0"/>
          <w:color w:val="000000"/>
          <w:sz w:val="32"/>
          <w:szCs w:val="32"/>
          <w:u w:val="none"/>
          <w:lang w:val="en-US" w:eastAsia="zh-CN"/>
        </w:rPr>
      </w:pPr>
    </w:p>
    <w:p w14:paraId="4AA83DE0">
      <w:pPr>
        <w:rPr>
          <w:rFonts w:hint="eastAsia" w:ascii="黑体" w:hAnsi="黑体" w:eastAsia="黑体" w:cs="Times New Roman"/>
          <w:i w:val="0"/>
          <w:color w:val="000000"/>
          <w:sz w:val="32"/>
          <w:szCs w:val="32"/>
          <w:u w:val="none"/>
          <w:lang w:val="en-US" w:eastAsia="zh-CN"/>
        </w:rPr>
      </w:pPr>
    </w:p>
    <w:p w14:paraId="58476726">
      <w:pPr>
        <w:rPr>
          <w:rFonts w:ascii="黑体" w:hAnsi="黑体" w:eastAsia="黑体"/>
          <w:i/>
          <w:sz w:val="32"/>
          <w:szCs w:val="32"/>
          <w:u w:val="single"/>
        </w:rPr>
      </w:pPr>
      <w:r>
        <w:rPr>
          <w:rFonts w:hint="eastAsia" w:ascii="黑体" w:hAnsi="黑体" w:eastAsia="黑体" w:cs="Times New Roman"/>
          <w:i w:val="0"/>
          <w:color w:val="000000"/>
          <w:sz w:val="32"/>
          <w:szCs w:val="32"/>
          <w:u w:val="none"/>
          <w:lang w:val="en-US" w:eastAsia="zh-CN"/>
        </w:rPr>
        <w:t>三、</w:t>
      </w:r>
      <w:r>
        <w:rPr>
          <w:rFonts w:hint="eastAsia" w:ascii="黑体" w:hAnsi="黑体" w:eastAsia="黑体"/>
          <w:color w:val="000000"/>
          <w:sz w:val="32"/>
          <w:szCs w:val="32"/>
        </w:rPr>
        <w:t>法人授权书及委托代理人的身份证扫描件</w:t>
      </w:r>
    </w:p>
    <w:p w14:paraId="3E63FEA3">
      <w:pPr>
        <w:rPr>
          <w:rFonts w:hint="eastAsia" w:ascii="黑体" w:hAnsi="黑体" w:eastAsia="黑体" w:cs="Times New Roman"/>
          <w:i w:val="0"/>
          <w:color w:val="000000"/>
          <w:sz w:val="32"/>
          <w:szCs w:val="32"/>
          <w:u w:val="none"/>
          <w:lang w:val="en-US" w:eastAsia="zh-CN"/>
        </w:rPr>
      </w:pPr>
    </w:p>
    <w:p w14:paraId="55C45390">
      <w:pPr>
        <w:spacing w:line="360" w:lineRule="auto"/>
        <w:jc w:val="center"/>
        <w:outlineLvl w:val="2"/>
        <w:rPr>
          <w:rFonts w:hint="eastAsia" w:ascii="方正小标宋简体" w:hAnsi="方正小标宋简体" w:eastAsia="方正小标宋简体" w:cs="方正小标宋简体"/>
          <w:color w:val="000000"/>
          <w:sz w:val="32"/>
          <w:szCs w:val="32"/>
          <w:lang w:val="zh-CN" w:eastAsia="zh-CN"/>
        </w:rPr>
      </w:pPr>
      <w:r>
        <w:rPr>
          <w:rFonts w:hint="eastAsia" w:ascii="方正小标宋简体" w:hAnsi="方正小标宋简体" w:eastAsia="方正小标宋简体" w:cs="方正小标宋简体"/>
          <w:color w:val="000000"/>
          <w:sz w:val="32"/>
          <w:szCs w:val="32"/>
          <w:lang w:val="zh-CN" w:eastAsia="zh-CN"/>
        </w:rPr>
        <w:t>法人授权书</w:t>
      </w:r>
    </w:p>
    <w:p w14:paraId="7FDFF1DF">
      <w:pPr>
        <w:pStyle w:val="319"/>
        <w:keepNext w:val="0"/>
        <w:keepLines w:val="0"/>
        <w:pageBreakBefore w:val="0"/>
        <w:widowControl w:val="0"/>
        <w:spacing w:line="480" w:lineRule="auto"/>
        <w:ind w:firstLine="480"/>
        <w:rPr>
          <w:rFonts w:hint="eastAsia"/>
          <w:sz w:val="24"/>
          <w:szCs w:val="24"/>
        </w:rPr>
      </w:pPr>
      <w:r>
        <w:rPr>
          <w:rFonts w:hint="eastAsia"/>
          <w:sz w:val="24"/>
          <w:szCs w:val="24"/>
        </w:rPr>
        <w:t>本授权书声明：</w:t>
      </w:r>
      <w:r>
        <w:rPr>
          <w:rFonts w:hint="eastAsia" w:ascii="宋体" w:hAnsi="宋体" w:eastAsia="宋体" w:cs="宋体"/>
          <w:sz w:val="24"/>
          <w:szCs w:val="24"/>
          <w:u w:val="single"/>
        </w:rPr>
        <w:t xml:space="preserve">            </w:t>
      </w:r>
      <w:r>
        <w:rPr>
          <w:rFonts w:hint="eastAsia"/>
          <w:sz w:val="24"/>
          <w:szCs w:val="24"/>
        </w:rPr>
        <w:t>（</w:t>
      </w:r>
      <w:r>
        <w:rPr>
          <w:rFonts w:hint="eastAsia"/>
          <w:sz w:val="24"/>
          <w:szCs w:val="24"/>
          <w:lang w:eastAsia="zh-CN"/>
        </w:rPr>
        <w:t>供应商</w:t>
      </w:r>
      <w:r>
        <w:rPr>
          <w:rFonts w:hint="eastAsia"/>
          <w:sz w:val="24"/>
          <w:szCs w:val="24"/>
        </w:rPr>
        <w:t>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（被授权人的姓名）</w:t>
      </w:r>
      <w:r>
        <w:rPr>
          <w:rFonts w:hint="eastAsia"/>
          <w:sz w:val="24"/>
          <w:szCs w:val="24"/>
          <w:lang w:val="en-US" w:eastAsia="zh-CN"/>
        </w:rPr>
        <w:t>作</w:t>
      </w:r>
      <w:r>
        <w:rPr>
          <w:rFonts w:hint="eastAsia"/>
          <w:sz w:val="24"/>
          <w:szCs w:val="24"/>
        </w:rPr>
        <w:t>为我方就</w:t>
      </w:r>
      <w:r>
        <w:rPr>
          <w:rFonts w:hint="eastAsia"/>
          <w:sz w:val="24"/>
          <w:szCs w:val="24"/>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的</w:t>
      </w:r>
      <w:r>
        <w:rPr>
          <w:rFonts w:hint="eastAsia"/>
          <w:sz w:val="24"/>
          <w:szCs w:val="24"/>
        </w:rPr>
        <w:t>项目采购活动的合法代理人，以本单位名义全权处理一切与该项目采购有关的事务。</w:t>
      </w:r>
    </w:p>
    <w:p w14:paraId="41F75C99">
      <w:pPr>
        <w:pStyle w:val="319"/>
        <w:keepNext w:val="0"/>
        <w:keepLines w:val="0"/>
        <w:pageBreakBefore w:val="0"/>
        <w:widowControl w:val="0"/>
        <w:spacing w:line="480" w:lineRule="auto"/>
        <w:ind w:firstLine="480"/>
        <w:rPr>
          <w:rFonts w:hint="eastAsia"/>
          <w:sz w:val="24"/>
          <w:szCs w:val="24"/>
        </w:rPr>
      </w:pPr>
      <w:r>
        <w:rPr>
          <w:rFonts w:hint="eastAsia"/>
          <w:sz w:val="24"/>
          <w:szCs w:val="24"/>
        </w:rPr>
        <w:t>本授权书于______年____月____日起生效，特此声明。</w:t>
      </w:r>
    </w:p>
    <w:p w14:paraId="2BC7F2F6">
      <w:pPr>
        <w:pStyle w:val="319"/>
        <w:keepNext w:val="0"/>
        <w:keepLines w:val="0"/>
        <w:pageBreakBefore w:val="0"/>
        <w:widowControl w:val="0"/>
        <w:spacing w:line="480" w:lineRule="auto"/>
        <w:ind w:firstLine="0"/>
        <w:rPr>
          <w:rFonts w:hint="eastAsia"/>
          <w:sz w:val="24"/>
          <w:szCs w:val="24"/>
          <w:u w:val="single"/>
        </w:rPr>
      </w:pPr>
      <w:r>
        <w:rPr>
          <w:rFonts w:hint="eastAsia"/>
          <w:sz w:val="24"/>
          <w:szCs w:val="24"/>
        </w:rPr>
        <w:t xml:space="preserve">    被授权人身份证号码：</w:t>
      </w:r>
    </w:p>
    <w:p w14:paraId="0047B428">
      <w:pPr>
        <w:pStyle w:val="319"/>
        <w:keepNext w:val="0"/>
        <w:keepLines w:val="0"/>
        <w:pageBreakBefore w:val="0"/>
        <w:widowControl w:val="0"/>
        <w:spacing w:line="480" w:lineRule="auto"/>
        <w:ind w:firstLine="480"/>
        <w:rPr>
          <w:rFonts w:hint="eastAsia" w:ascii="宋体" w:hAnsi="宋体" w:eastAsia="宋体" w:cs="宋体"/>
          <w:sz w:val="24"/>
          <w:szCs w:val="24"/>
          <w:u w:val="single"/>
        </w:rPr>
      </w:pPr>
      <w:r>
        <w:rPr>
          <w:rFonts w:hint="eastAsia"/>
          <w:sz w:val="24"/>
          <w:szCs w:val="24"/>
        </w:rPr>
        <w:t>被授权人联系电话：（手机）</w:t>
      </w:r>
    </w:p>
    <w:p w14:paraId="4449FDA2">
      <w:pPr>
        <w:pStyle w:val="319"/>
        <w:keepNext w:val="0"/>
        <w:keepLines w:val="0"/>
        <w:pageBreakBefore w:val="0"/>
        <w:widowControl w:val="0"/>
        <w:spacing w:line="480" w:lineRule="auto"/>
        <w:ind w:firstLine="480"/>
        <w:rPr>
          <w:rFonts w:eastAsia="宋体"/>
          <w:sz w:val="24"/>
          <w:szCs w:val="24"/>
          <w:lang w:val="en-US" w:eastAsia="zh-CN"/>
        </w:rPr>
      </w:pPr>
      <w:r>
        <w:rPr>
          <w:rFonts w:hint="eastAsia"/>
          <w:sz w:val="24"/>
          <w:szCs w:val="24"/>
          <w:lang w:val="en-US" w:eastAsia="zh-CN"/>
        </w:rPr>
        <w:t>授权单位</w:t>
      </w:r>
      <w:r>
        <w:rPr>
          <w:rFonts w:hint="eastAsia"/>
          <w:sz w:val="24"/>
          <w:szCs w:val="24"/>
        </w:rPr>
        <w:t>名称：</w:t>
      </w:r>
      <w:r>
        <w:rPr>
          <w:rFonts w:hint="eastAsia" w:ascii="宋体" w:hAnsi="宋体" w:eastAsia="宋体" w:cs="宋体"/>
          <w:sz w:val="24"/>
          <w:szCs w:val="24"/>
          <w:u w:val="none"/>
        </w:rPr>
        <w:t>（加盖电子公章）</w:t>
      </w:r>
    </w:p>
    <w:p w14:paraId="6C63AD8C">
      <w:pPr>
        <w:pStyle w:val="319"/>
        <w:keepNext w:val="0"/>
        <w:keepLines w:val="0"/>
        <w:pageBreakBefore w:val="0"/>
        <w:widowControl w:val="0"/>
        <w:spacing w:line="480" w:lineRule="auto"/>
        <w:ind w:firstLine="480"/>
        <w:rPr>
          <w:rFonts w:hint="eastAsia"/>
          <w:sz w:val="24"/>
          <w:szCs w:val="24"/>
          <w:u w:val="single"/>
        </w:rPr>
      </w:pPr>
      <w:r>
        <w:rPr>
          <w:rFonts w:hint="eastAsia"/>
          <w:sz w:val="24"/>
          <w:szCs w:val="24"/>
        </w:rPr>
        <w:t>单位地址：</w:t>
      </w:r>
    </w:p>
    <w:p w14:paraId="67A8AF2E">
      <w:pPr>
        <w:pStyle w:val="319"/>
        <w:keepNext w:val="0"/>
        <w:keepLines w:val="0"/>
        <w:pageBreakBefore w:val="0"/>
        <w:widowControl w:val="0"/>
        <w:spacing w:line="480" w:lineRule="auto"/>
        <w:ind w:firstLine="480"/>
        <w:rPr>
          <w:rFonts w:hint="eastAsia"/>
          <w:sz w:val="24"/>
          <w:szCs w:val="24"/>
        </w:rPr>
      </w:pPr>
      <w:r>
        <w:rPr>
          <w:rFonts w:hint="eastAsia"/>
          <w:sz w:val="24"/>
          <w:szCs w:val="24"/>
        </w:rPr>
        <w:t>日</w:t>
      </w:r>
      <w:r>
        <w:rPr>
          <w:rFonts w:hint="eastAsia"/>
          <w:sz w:val="24"/>
          <w:szCs w:val="24"/>
          <w:lang w:val="en-US" w:eastAsia="zh-CN"/>
        </w:rPr>
        <w:t xml:space="preserve">    </w:t>
      </w:r>
      <w:r>
        <w:rPr>
          <w:rFonts w:hint="eastAsia"/>
          <w:sz w:val="24"/>
          <w:szCs w:val="24"/>
        </w:rPr>
        <w:t>期：</w:t>
      </w:r>
      <w:bookmarkStart w:id="192" w:name="_Hlt26955070"/>
      <w:bookmarkEnd w:id="192"/>
      <w:bookmarkStart w:id="193" w:name="_Hlt26671380"/>
      <w:bookmarkEnd w:id="193"/>
      <w:bookmarkStart w:id="194" w:name="_格式3__银行出具的资信证明"/>
      <w:bookmarkEnd w:id="194"/>
    </w:p>
    <w:p w14:paraId="3C34824C">
      <w:pPr>
        <w:tabs>
          <w:tab w:val="left" w:pos="360"/>
        </w:tabs>
        <w:ind w:firstLine="480"/>
        <w:rPr>
          <w:rFonts w:hint="eastAsia" w:ascii="Times New Roman" w:hAnsi="Times New Roman"/>
          <w:sz w:val="24"/>
          <w:szCs w:val="24"/>
          <w:u w:val="single"/>
        </w:rPr>
      </w:pPr>
    </w:p>
    <w:p w14:paraId="77C183D7">
      <w:pPr>
        <w:tabs>
          <w:tab w:val="left" w:pos="360"/>
        </w:tabs>
        <w:ind w:firstLine="480"/>
        <w:rPr>
          <w:rFonts w:hint="eastAsia" w:ascii="Times New Roman" w:hAnsi="Times New Roman"/>
          <w:sz w:val="24"/>
          <w:szCs w:val="24"/>
          <w:u w:val="single"/>
        </w:rPr>
      </w:pPr>
    </w:p>
    <w:p w14:paraId="42C3E8F2">
      <w:pPr>
        <w:tabs>
          <w:tab w:val="left" w:pos="360"/>
        </w:tabs>
        <w:ind w:firstLine="482"/>
        <w:rPr>
          <w:rFonts w:hint="eastAsia" w:ascii="Times New Roman" w:hAnsi="Times New Roman"/>
          <w:sz w:val="24"/>
          <w:szCs w:val="24"/>
          <w:u w:val="single"/>
        </w:rPr>
      </w:pPr>
      <w:r>
        <w:rPr>
          <w:rFonts w:hint="eastAsia"/>
          <w:b/>
          <w:sz w:val="24"/>
          <w:szCs w:val="24"/>
          <w:highlight w:val="none"/>
        </w:rPr>
        <w:t>说明：提供法人授权书的同时须提供委托代理人的身份证扫描件。</w:t>
      </w:r>
    </w:p>
    <w:p w14:paraId="57DD1709">
      <w:pPr>
        <w:tabs>
          <w:tab w:val="left" w:pos="360"/>
        </w:tabs>
        <w:ind w:firstLine="480"/>
        <w:rPr>
          <w:rFonts w:hint="eastAsia" w:ascii="Times New Roman" w:hAnsi="Times New Roman"/>
          <w:sz w:val="24"/>
          <w:szCs w:val="24"/>
          <w:u w:val="single"/>
        </w:rPr>
      </w:pPr>
    </w:p>
    <w:p w14:paraId="719DC432">
      <w:pPr>
        <w:tabs>
          <w:tab w:val="left" w:pos="360"/>
        </w:tabs>
        <w:ind w:firstLine="480"/>
        <w:rPr>
          <w:rFonts w:hint="eastAsia" w:ascii="Times New Roman" w:hAnsi="Times New Roman"/>
          <w:sz w:val="24"/>
          <w:szCs w:val="24"/>
          <w:u w:val="single"/>
        </w:rPr>
      </w:pPr>
    </w:p>
    <w:p w14:paraId="697956B0">
      <w:pPr>
        <w:tabs>
          <w:tab w:val="left" w:pos="360"/>
        </w:tabs>
        <w:ind w:firstLine="480"/>
        <w:rPr>
          <w:rFonts w:hint="eastAsia" w:ascii="Times New Roman" w:hAnsi="Times New Roman"/>
          <w:sz w:val="24"/>
          <w:szCs w:val="24"/>
          <w:u w:val="single"/>
        </w:rPr>
      </w:pPr>
    </w:p>
    <w:p w14:paraId="73808C5D">
      <w:pPr>
        <w:tabs>
          <w:tab w:val="left" w:pos="360"/>
        </w:tabs>
        <w:ind w:firstLine="480"/>
        <w:rPr>
          <w:rFonts w:hint="eastAsia" w:ascii="Times New Roman" w:hAnsi="Times New Roman"/>
          <w:sz w:val="24"/>
          <w:szCs w:val="24"/>
          <w:u w:val="single"/>
        </w:rPr>
      </w:pPr>
    </w:p>
    <w:p w14:paraId="762FB4AD">
      <w:pPr>
        <w:tabs>
          <w:tab w:val="left" w:pos="360"/>
        </w:tabs>
        <w:ind w:firstLine="480"/>
        <w:rPr>
          <w:rFonts w:hint="eastAsia" w:ascii="Times New Roman" w:hAnsi="Times New Roman"/>
          <w:sz w:val="24"/>
          <w:szCs w:val="24"/>
          <w:u w:val="single"/>
        </w:rPr>
      </w:pPr>
    </w:p>
    <w:p w14:paraId="3B7CBA41">
      <w:pPr>
        <w:tabs>
          <w:tab w:val="left" w:pos="360"/>
        </w:tabs>
        <w:ind w:firstLine="480"/>
        <w:rPr>
          <w:rFonts w:hint="eastAsia" w:ascii="Times New Roman" w:hAnsi="Times New Roman"/>
          <w:sz w:val="24"/>
          <w:szCs w:val="24"/>
          <w:u w:val="single"/>
        </w:rPr>
      </w:pPr>
    </w:p>
    <w:p w14:paraId="44198779">
      <w:pPr>
        <w:tabs>
          <w:tab w:val="left" w:pos="360"/>
        </w:tabs>
        <w:ind w:firstLine="480"/>
        <w:rPr>
          <w:rFonts w:hint="eastAsia" w:ascii="Times New Roman" w:hAnsi="Times New Roman"/>
          <w:sz w:val="24"/>
          <w:szCs w:val="24"/>
          <w:u w:val="single"/>
        </w:rPr>
      </w:pPr>
    </w:p>
    <w:p w14:paraId="21AE1327">
      <w:pPr>
        <w:rPr>
          <w:rFonts w:hint="eastAsia" w:ascii="黑体" w:hAnsi="黑体" w:eastAsia="黑体" w:cs="Times New Roman"/>
          <w:bCs w:val="0"/>
          <w:i w:val="0"/>
          <w:color w:val="000000"/>
          <w:sz w:val="32"/>
          <w:szCs w:val="32"/>
          <w:u w:val="none"/>
          <w:lang w:val="en-US" w:eastAsia="zh-CN"/>
        </w:rPr>
      </w:pPr>
    </w:p>
    <w:p w14:paraId="5A97E108">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四、磋商响应函</w:t>
      </w:r>
    </w:p>
    <w:p w14:paraId="7C137B95">
      <w:pPr>
        <w:spacing w:line="360" w:lineRule="auto"/>
        <w:jc w:val="center"/>
        <w:outlineLvl w:val="2"/>
        <w:rPr>
          <w:rFonts w:hint="eastAsia" w:ascii="方正小标宋简体" w:hAnsi="方正小标宋简体" w:eastAsia="方正小标宋简体" w:cs="方正小标宋简体"/>
          <w:color w:val="000000"/>
          <w:sz w:val="32"/>
          <w:szCs w:val="32"/>
          <w:lang w:val="zh-CN"/>
        </w:rPr>
      </w:pPr>
      <w:r>
        <w:rPr>
          <w:rFonts w:hint="eastAsia" w:ascii="方正小标宋简体" w:hAnsi="方正小标宋简体" w:eastAsia="方正小标宋简体" w:cs="方正小标宋简体"/>
          <w:color w:val="000000"/>
          <w:sz w:val="32"/>
          <w:szCs w:val="32"/>
          <w:lang w:val="en-US" w:eastAsia="zh-CN"/>
        </w:rPr>
        <w:t>磋商响应函</w:t>
      </w:r>
    </w:p>
    <w:p w14:paraId="5845CDDC">
      <w:pPr>
        <w:keepNext w:val="0"/>
        <w:keepLines w:val="0"/>
        <w:pageBreakBefore w:val="0"/>
        <w:widowControl w:val="0"/>
        <w:spacing w:line="360" w:lineRule="auto"/>
        <w:jc w:val="left"/>
        <w:rPr>
          <w:rFonts w:hint="eastAsia" w:ascii="宋体" w:hAnsi="宋体" w:eastAsia="宋体"/>
          <w:sz w:val="24"/>
          <w:szCs w:val="21"/>
          <w:lang w:eastAsia="zh-CN"/>
        </w:rPr>
      </w:pPr>
      <w:r>
        <w:rPr>
          <w:rFonts w:hint="eastAsia" w:ascii="宋体" w:hAnsi="宋体"/>
          <w:sz w:val="24"/>
          <w:szCs w:val="21"/>
        </w:rPr>
        <w:t>致：</w:t>
      </w:r>
      <w:r>
        <w:rPr>
          <w:rFonts w:hint="eastAsia" w:ascii="宋体" w:hAnsi="宋体"/>
          <w:sz w:val="24"/>
          <w:szCs w:val="21"/>
          <w:lang w:eastAsia="zh-CN"/>
        </w:rPr>
        <w:t>南京市公共资源交易中心江北新区分中心</w:t>
      </w:r>
    </w:p>
    <w:p w14:paraId="2F07F6E7">
      <w:pPr>
        <w:pStyle w:val="321"/>
        <w:keepNext w:val="0"/>
        <w:keepLines w:val="0"/>
        <w:pageBreakBefore w:val="0"/>
        <w:widowControl w:val="0"/>
        <w:spacing w:before="0" w:after="0" w:line="360" w:lineRule="auto"/>
        <w:ind w:firstLine="480"/>
        <w:rPr>
          <w:rFonts w:hint="eastAsia" w:ascii="宋体" w:hAnsi="宋体"/>
          <w:szCs w:val="21"/>
        </w:rPr>
      </w:pPr>
      <w:r>
        <w:rPr>
          <w:rFonts w:hint="eastAsia" w:ascii="宋体" w:hAnsi="宋体"/>
          <w:szCs w:val="21"/>
        </w:rPr>
        <w:t>根据贵方</w:t>
      </w:r>
      <w:r>
        <w:rPr>
          <w:rFonts w:hint="eastAsia" w:ascii="宋体" w:hAnsi="宋体"/>
          <w:szCs w:val="21"/>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的</w:t>
      </w:r>
      <w:r>
        <w:rPr>
          <w:rFonts w:hint="eastAsia" w:ascii="宋体" w:hAnsi="宋体" w:eastAsia="宋体" w:cs="Times New Roman"/>
          <w:sz w:val="24"/>
          <w:szCs w:val="21"/>
          <w:lang w:val="en-US" w:eastAsia="zh-CN"/>
        </w:rPr>
        <w:t>项目</w:t>
      </w:r>
      <w:r>
        <w:rPr>
          <w:rFonts w:hint="eastAsia" w:ascii="宋体" w:hAnsi="宋体" w:eastAsia="宋体"/>
          <w:szCs w:val="21"/>
          <w:lang w:eastAsia="zh-CN"/>
        </w:rPr>
        <w:t>磋商</w:t>
      </w:r>
      <w:r>
        <w:rPr>
          <w:rFonts w:hint="eastAsia" w:ascii="宋体" w:hAnsi="宋体"/>
          <w:szCs w:val="21"/>
        </w:rPr>
        <w:t>文件</w:t>
      </w:r>
      <w:r>
        <w:rPr>
          <w:rFonts w:hint="eastAsia" w:ascii="宋体" w:hAnsi="宋体"/>
          <w:szCs w:val="21"/>
          <w:lang w:eastAsia="zh-CN"/>
        </w:rPr>
        <w:t>，</w:t>
      </w:r>
      <w:r>
        <w:rPr>
          <w:rFonts w:hint="eastAsia" w:ascii="宋体" w:hAnsi="宋体"/>
          <w:szCs w:val="21"/>
          <w:lang w:val="en-US" w:eastAsia="zh-CN"/>
        </w:rPr>
        <w:t>我方</w:t>
      </w:r>
      <w:r>
        <w:rPr>
          <w:rFonts w:hint="eastAsia" w:ascii="宋体" w:hAnsi="宋体"/>
          <w:szCs w:val="21"/>
        </w:rPr>
        <w:t>正式</w:t>
      </w:r>
      <w:r>
        <w:rPr>
          <w:rFonts w:hint="eastAsia" w:ascii="宋体" w:hAnsi="宋体"/>
          <w:szCs w:val="21"/>
          <w:u w:val="none"/>
          <w:lang w:val="en-US" w:eastAsia="zh-CN"/>
        </w:rPr>
        <w:t>提</w:t>
      </w:r>
      <w:r>
        <w:rPr>
          <w:rFonts w:hint="eastAsia" w:ascii="宋体" w:hAnsi="宋体" w:eastAsia="宋体" w:cs="宋体"/>
          <w:sz w:val="24"/>
          <w:szCs w:val="24"/>
          <w:u w:val="none"/>
          <w:lang w:val="en-US" w:eastAsia="zh-CN"/>
        </w:rPr>
        <w:t>交磋商响应函，</w:t>
      </w:r>
      <w:r>
        <w:rPr>
          <w:rFonts w:hint="eastAsia" w:ascii="宋体" w:hAnsi="宋体"/>
          <w:szCs w:val="21"/>
          <w:lang w:val="en-US" w:eastAsia="zh-CN"/>
        </w:rPr>
        <w:t>并</w:t>
      </w:r>
      <w:r>
        <w:rPr>
          <w:rFonts w:hint="eastAsia" w:ascii="宋体" w:hAnsi="宋体"/>
          <w:szCs w:val="21"/>
        </w:rPr>
        <w:t>宣布同意如下</w:t>
      </w:r>
      <w:r>
        <w:rPr>
          <w:rFonts w:hint="eastAsia" w:ascii="宋体" w:hAnsi="宋体"/>
          <w:szCs w:val="21"/>
          <w:lang w:val="en-US" w:eastAsia="zh-CN"/>
        </w:rPr>
        <w:t>内容</w:t>
      </w:r>
      <w:r>
        <w:rPr>
          <w:rFonts w:hint="eastAsia" w:ascii="宋体" w:hAnsi="宋体"/>
          <w:szCs w:val="21"/>
        </w:rPr>
        <w:t>：</w:t>
      </w:r>
    </w:p>
    <w:p w14:paraId="04D85E72">
      <w:pPr>
        <w:keepNext w:val="0"/>
        <w:keepLines w:val="0"/>
        <w:pageBreakBefore w:val="0"/>
        <w:widowControl w:val="0"/>
        <w:spacing w:line="360" w:lineRule="auto"/>
        <w:ind w:firstLine="480"/>
        <w:jc w:val="left"/>
        <w:rPr>
          <w:rFonts w:hint="eastAsia" w:ascii="宋体" w:hAnsi="宋体"/>
          <w:sz w:val="24"/>
          <w:szCs w:val="21"/>
        </w:rPr>
      </w:pPr>
      <w:r>
        <w:rPr>
          <w:rFonts w:hint="eastAsia" w:ascii="宋体" w:hAnsi="宋体"/>
          <w:sz w:val="24"/>
          <w:szCs w:val="21"/>
        </w:rPr>
        <w:t>1.按磋商文件规定的各项要求</w:t>
      </w:r>
      <w:r>
        <w:rPr>
          <w:rFonts w:hint="eastAsia" w:ascii="宋体" w:hAnsi="宋体"/>
          <w:sz w:val="24"/>
          <w:szCs w:val="21"/>
          <w:lang w:eastAsia="zh-CN"/>
        </w:rPr>
        <w:t>，</w:t>
      </w:r>
      <w:r>
        <w:rPr>
          <w:rFonts w:hint="eastAsia" w:ascii="宋体" w:hAnsi="宋体"/>
          <w:sz w:val="24"/>
          <w:szCs w:val="21"/>
        </w:rPr>
        <w:t>向买方提供所需服务（包含与货物相关的服务及与服务相关的货物）。</w:t>
      </w:r>
    </w:p>
    <w:p w14:paraId="441172A9">
      <w:pPr>
        <w:keepNext w:val="0"/>
        <w:keepLines w:val="0"/>
        <w:pageBreakBefore w:val="0"/>
        <w:widowControl w:val="0"/>
        <w:spacing w:line="360" w:lineRule="auto"/>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07B7C376">
      <w:pPr>
        <w:keepNext w:val="0"/>
        <w:keepLines w:val="0"/>
        <w:pageBreakBefore w:val="0"/>
        <w:widowControl w:val="0"/>
        <w:spacing w:line="360" w:lineRule="auto"/>
        <w:ind w:firstLine="480"/>
        <w:jc w:val="left"/>
        <w:rPr>
          <w:rFonts w:hint="eastAsia" w:ascii="宋体" w:hAnsi="宋体"/>
          <w:sz w:val="24"/>
          <w:szCs w:val="21"/>
        </w:rPr>
      </w:pPr>
      <w:r>
        <w:rPr>
          <w:rFonts w:hint="eastAsia" w:ascii="宋体" w:hAnsi="宋体"/>
          <w:sz w:val="24"/>
          <w:szCs w:val="21"/>
        </w:rPr>
        <w:t>3.我们已详细审核全部磋商文件及其有效补充文件</w:t>
      </w:r>
      <w:r>
        <w:rPr>
          <w:rFonts w:hint="eastAsia" w:ascii="宋体" w:hAnsi="宋体"/>
          <w:sz w:val="24"/>
          <w:szCs w:val="21"/>
          <w:lang w:eastAsia="zh-CN"/>
        </w:rPr>
        <w:t>，</w:t>
      </w:r>
      <w:r>
        <w:rPr>
          <w:rFonts w:hint="eastAsia" w:ascii="宋体" w:hAnsi="宋体"/>
          <w:sz w:val="24"/>
          <w:szCs w:val="21"/>
        </w:rPr>
        <w:t>我们知道必须放弃提出含糊不清或误解问题的权利。</w:t>
      </w:r>
    </w:p>
    <w:p w14:paraId="4FA7D4C4">
      <w:pPr>
        <w:keepNext w:val="0"/>
        <w:keepLines w:val="0"/>
        <w:pageBreakBefore w:val="0"/>
        <w:widowControl w:val="0"/>
        <w:spacing w:line="360" w:lineRule="auto"/>
        <w:ind w:firstLine="480"/>
        <w:jc w:val="left"/>
        <w:rPr>
          <w:rFonts w:hint="eastAsia" w:ascii="宋体" w:hAnsi="宋体"/>
          <w:sz w:val="24"/>
          <w:szCs w:val="21"/>
        </w:rPr>
      </w:pPr>
      <w:r>
        <w:rPr>
          <w:rFonts w:hint="eastAsia" w:ascii="宋体" w:hAnsi="宋体"/>
          <w:sz w:val="24"/>
          <w:szCs w:val="21"/>
        </w:rPr>
        <w:t>4.我们同意从规定的</w:t>
      </w:r>
      <w:r>
        <w:rPr>
          <w:rFonts w:hint="eastAsia" w:ascii="宋体" w:hAnsi="宋体"/>
          <w:sz w:val="24"/>
          <w:szCs w:val="21"/>
          <w:lang w:val="en-US" w:eastAsia="zh-CN"/>
        </w:rPr>
        <w:t>磋商</w:t>
      </w:r>
      <w:r>
        <w:rPr>
          <w:rFonts w:hint="eastAsia" w:ascii="宋体" w:hAnsi="宋体"/>
          <w:sz w:val="24"/>
          <w:szCs w:val="21"/>
        </w:rPr>
        <w:t>日期起遵循本响应文件</w:t>
      </w:r>
      <w:r>
        <w:rPr>
          <w:rFonts w:hint="eastAsia" w:ascii="宋体" w:hAnsi="宋体"/>
          <w:sz w:val="24"/>
          <w:szCs w:val="21"/>
          <w:lang w:eastAsia="zh-CN"/>
        </w:rPr>
        <w:t>，</w:t>
      </w:r>
      <w:r>
        <w:rPr>
          <w:rFonts w:hint="eastAsia" w:ascii="宋体" w:hAnsi="宋体"/>
          <w:sz w:val="24"/>
          <w:szCs w:val="21"/>
        </w:rPr>
        <w:t>并在规定的磋商有效期期满之前均具有约束力。</w:t>
      </w:r>
    </w:p>
    <w:p w14:paraId="1339A21A">
      <w:pPr>
        <w:keepNext w:val="0"/>
        <w:keepLines w:val="0"/>
        <w:pageBreakBefore w:val="0"/>
        <w:widowControl w:val="0"/>
        <w:spacing w:line="360" w:lineRule="auto"/>
        <w:ind w:firstLine="480"/>
        <w:jc w:val="left"/>
        <w:rPr>
          <w:rFonts w:hint="eastAsia" w:ascii="宋体" w:hAnsi="宋体" w:eastAsia="宋体" w:cs="Times New Roman"/>
          <w:sz w:val="24"/>
          <w:szCs w:val="21"/>
        </w:rPr>
      </w:pPr>
      <w:r>
        <w:rPr>
          <w:rFonts w:hint="eastAsia" w:ascii="宋体" w:hAnsi="宋体" w:eastAsia="宋体" w:cs="Times New Roman"/>
          <w:sz w:val="24"/>
          <w:szCs w:val="21"/>
        </w:rPr>
        <w:t>5.同意向贵方提供贵方可能另外要求的与磋商有关的任何证据或资料</w:t>
      </w:r>
      <w:r>
        <w:rPr>
          <w:rFonts w:hint="eastAsia" w:ascii="宋体" w:hAnsi="宋体" w:eastAsia="宋体" w:cs="Times New Roman"/>
          <w:sz w:val="24"/>
          <w:szCs w:val="21"/>
          <w:lang w:eastAsia="zh-CN"/>
        </w:rPr>
        <w:t>，</w:t>
      </w:r>
      <w:r>
        <w:rPr>
          <w:rFonts w:hint="eastAsia" w:ascii="宋体" w:hAnsi="宋体" w:eastAsia="宋体" w:cs="Times New Roman"/>
          <w:sz w:val="24"/>
          <w:szCs w:val="21"/>
        </w:rPr>
        <w:t>并保证我方已提供和将要提供的文件是真实的、准确的。</w:t>
      </w:r>
    </w:p>
    <w:p w14:paraId="0442BDCD">
      <w:pPr>
        <w:keepNext w:val="0"/>
        <w:keepLines w:val="0"/>
        <w:pageBreakBefore w:val="0"/>
        <w:widowControl w:val="0"/>
        <w:spacing w:line="360" w:lineRule="auto"/>
        <w:ind w:firstLine="480"/>
        <w:jc w:val="left"/>
        <w:rPr>
          <w:rFonts w:hint="eastAsia" w:ascii="宋体" w:hAnsi="宋体" w:eastAsia="宋体" w:cs="Times New Roman"/>
          <w:sz w:val="24"/>
          <w:szCs w:val="21"/>
        </w:rPr>
      </w:pPr>
      <w:r>
        <w:rPr>
          <w:rFonts w:hint="eastAsia" w:ascii="宋体" w:hAnsi="宋体" w:eastAsia="宋体" w:cs="Times New Roman"/>
          <w:sz w:val="24"/>
          <w:szCs w:val="21"/>
        </w:rPr>
        <w:t>6.一旦我方成交</w:t>
      </w:r>
      <w:r>
        <w:rPr>
          <w:rFonts w:hint="eastAsia" w:ascii="宋体" w:hAnsi="宋体" w:eastAsia="宋体" w:cs="Times New Roman"/>
          <w:sz w:val="24"/>
          <w:szCs w:val="21"/>
          <w:lang w:eastAsia="zh-CN"/>
        </w:rPr>
        <w:t>，</w:t>
      </w:r>
      <w:r>
        <w:rPr>
          <w:rFonts w:hint="eastAsia" w:ascii="宋体" w:hAnsi="宋体" w:eastAsia="宋体" w:cs="Times New Roman"/>
          <w:sz w:val="24"/>
          <w:szCs w:val="21"/>
        </w:rPr>
        <w:t>我方将根据磋商文件的规定</w:t>
      </w:r>
      <w:r>
        <w:rPr>
          <w:rFonts w:hint="eastAsia" w:ascii="宋体" w:hAnsi="宋体" w:eastAsia="宋体" w:cs="Times New Roman"/>
          <w:sz w:val="24"/>
          <w:szCs w:val="21"/>
          <w:lang w:eastAsia="zh-CN"/>
        </w:rPr>
        <w:t>，</w:t>
      </w:r>
      <w:r>
        <w:rPr>
          <w:rFonts w:hint="eastAsia" w:ascii="宋体" w:hAnsi="宋体" w:eastAsia="宋体" w:cs="Times New Roman"/>
          <w:sz w:val="24"/>
          <w:szCs w:val="21"/>
        </w:rPr>
        <w:t>严格履行合同的责任和义务,并保证在磋商文件规定的时间完成项目</w:t>
      </w:r>
      <w:r>
        <w:rPr>
          <w:rFonts w:hint="eastAsia" w:ascii="宋体" w:hAnsi="宋体" w:eastAsia="宋体" w:cs="Times New Roman"/>
          <w:sz w:val="24"/>
          <w:szCs w:val="21"/>
          <w:lang w:eastAsia="zh-CN"/>
        </w:rPr>
        <w:t>，</w:t>
      </w:r>
      <w:r>
        <w:rPr>
          <w:rFonts w:hint="eastAsia" w:ascii="宋体" w:hAnsi="宋体" w:eastAsia="宋体" w:cs="Times New Roman"/>
          <w:sz w:val="24"/>
          <w:szCs w:val="21"/>
        </w:rPr>
        <w:t>交付买方验收、使用。</w:t>
      </w:r>
    </w:p>
    <w:p w14:paraId="3BE51E63">
      <w:pPr>
        <w:keepNext w:val="0"/>
        <w:keepLines w:val="0"/>
        <w:pageBreakBefore w:val="0"/>
        <w:widowControl w:val="0"/>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我</w:t>
      </w:r>
      <w:r>
        <w:rPr>
          <w:rFonts w:hint="eastAsia" w:ascii="宋体" w:hAnsi="宋体" w:eastAsia="宋体" w:cs="Times New Roman"/>
          <w:sz w:val="24"/>
          <w:szCs w:val="24"/>
          <w:lang w:eastAsia="zh-CN"/>
        </w:rPr>
        <w:t>方</w:t>
      </w:r>
      <w:r>
        <w:rPr>
          <w:rFonts w:hint="eastAsia" w:ascii="宋体" w:hAnsi="宋体" w:eastAsia="宋体" w:cs="Times New Roman"/>
          <w:sz w:val="24"/>
          <w:szCs w:val="24"/>
        </w:rPr>
        <w:t>为</w:t>
      </w:r>
      <w:r>
        <w:rPr>
          <w:rFonts w:hint="eastAsia" w:ascii="宋体" w:hAnsi="宋体" w:eastAsia="宋体" w:cs="Times New Roman"/>
          <w:sz w:val="24"/>
          <w:szCs w:val="24"/>
          <w:lang w:eastAsia="zh-CN"/>
        </w:rPr>
        <w:t>：</w:t>
      </w:r>
      <w:r>
        <w:rPr>
          <w:rFonts w:ascii="Wingdings" w:hAnsi="Wingdings" w:eastAsia="Wingdings" w:cs="Wingdings"/>
          <w:sz w:val="24"/>
          <w:szCs w:val="24"/>
          <w:u w:val="none"/>
        </w:rPr>
        <w:t>¨</w:t>
      </w:r>
      <w:r>
        <w:rPr>
          <w:rFonts w:hint="eastAsia" w:ascii="宋体" w:hAnsi="宋体" w:eastAsia="宋体" w:cs="Times New Roman"/>
          <w:sz w:val="24"/>
          <w:szCs w:val="24"/>
        </w:rPr>
        <w:t>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rPr>
        <w:t>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微型企业（在对应</w:t>
      </w:r>
      <w:r>
        <w:rPr>
          <w:rFonts w:ascii="Wingdings" w:hAnsi="Wingdings" w:eastAsia="Wingdings" w:cs="Wingdings"/>
          <w:sz w:val="24"/>
          <w:szCs w:val="24"/>
          <w:u w:val="none"/>
        </w:rPr>
        <w:t>¨</w:t>
      </w:r>
      <w:r>
        <w:rPr>
          <w:rFonts w:hint="eastAsia" w:ascii="宋体" w:hAnsi="宋体" w:eastAsia="宋体" w:cs="宋体"/>
          <w:color w:val="000000"/>
          <w:sz w:val="24"/>
          <w:szCs w:val="24"/>
          <w:lang w:val="en-US" w:eastAsia="zh-CN"/>
        </w:rPr>
        <w:t>内</w:t>
      </w:r>
      <w:r>
        <w:rPr>
          <w:rFonts w:hint="eastAsia" w:ascii="宋体" w:hAnsi="宋体" w:eastAsia="宋体" w:cs="Times New Roman"/>
          <w:sz w:val="24"/>
          <w:szCs w:val="24"/>
          <w:lang w:val="zh-CN" w:eastAsia="zh-CN"/>
        </w:rPr>
        <w:t>打</w:t>
      </w:r>
      <w:r>
        <w:rPr>
          <w:rFonts w:hint="eastAsia" w:ascii="宋体" w:hAnsi="宋体" w:cs="Verdana"/>
          <w:sz w:val="24"/>
          <w:szCs w:val="24"/>
          <w:lang w:val="zh-CN"/>
        </w:rPr>
        <w:t>“√”</w:t>
      </w:r>
      <w:r>
        <w:rPr>
          <w:rFonts w:hint="eastAsia" w:ascii="宋体" w:hAnsi="宋体" w:eastAsia="宋体" w:cs="Times New Roman"/>
          <w:sz w:val="24"/>
          <w:szCs w:val="24"/>
          <w:lang w:val="en-US" w:eastAsia="zh-CN"/>
        </w:rPr>
        <w:t>）</w:t>
      </w:r>
    </w:p>
    <w:p w14:paraId="682E1624">
      <w:pPr>
        <w:keepNext w:val="0"/>
        <w:keepLines w:val="0"/>
        <w:pageBreakBefore w:val="0"/>
        <w:widowControl w:val="0"/>
        <w:spacing w:line="360" w:lineRule="auto"/>
        <w:ind w:firstLine="480"/>
        <w:jc w:val="left"/>
        <w:rPr>
          <w:rFonts w:hint="eastAsia" w:ascii="宋体" w:hAnsi="宋体" w:eastAsia="宋体" w:cs="Times New Roman"/>
          <w:sz w:val="24"/>
          <w:szCs w:val="21"/>
        </w:rPr>
      </w:pPr>
      <w:r>
        <w:rPr>
          <w:rFonts w:hint="eastAsia" w:ascii="宋体" w:hAnsi="宋体" w:eastAsia="宋体" w:cs="Times New Roman"/>
          <w:sz w:val="24"/>
          <w:szCs w:val="21"/>
          <w:lang w:val="en-US" w:eastAsia="zh-CN"/>
        </w:rPr>
        <w:t>8</w:t>
      </w:r>
      <w:r>
        <w:rPr>
          <w:rFonts w:hint="eastAsia" w:ascii="宋体" w:hAnsi="宋体" w:eastAsia="宋体" w:cs="Times New Roman"/>
          <w:sz w:val="24"/>
          <w:szCs w:val="21"/>
        </w:rPr>
        <w:t>.我方与本磋商有关的正式通讯地址为：</w:t>
      </w:r>
    </w:p>
    <w:p w14:paraId="28443F60">
      <w:pPr>
        <w:pStyle w:val="321"/>
        <w:keepNext w:val="0"/>
        <w:keepLines w:val="0"/>
        <w:pageBreakBefore w:val="0"/>
        <w:widowControl w:val="0"/>
        <w:spacing w:before="0" w:after="0" w:line="360" w:lineRule="auto"/>
        <w:ind w:left="0" w:firstLine="480"/>
        <w:rPr>
          <w:rFonts w:hint="eastAsia" w:ascii="宋体" w:hAnsi="宋体"/>
          <w:szCs w:val="21"/>
        </w:rPr>
      </w:pPr>
      <w:r>
        <w:rPr>
          <w:rFonts w:hint="eastAsia" w:ascii="宋体" w:hAnsi="宋体"/>
          <w:szCs w:val="21"/>
        </w:rPr>
        <w:t>地  址：</w:t>
      </w:r>
    </w:p>
    <w:p w14:paraId="41989DBE">
      <w:pPr>
        <w:pStyle w:val="321"/>
        <w:keepNext w:val="0"/>
        <w:keepLines w:val="0"/>
        <w:pageBreakBefore w:val="0"/>
        <w:widowControl w:val="0"/>
        <w:spacing w:before="0" w:after="0" w:line="360" w:lineRule="auto"/>
        <w:ind w:left="0" w:firstLine="480"/>
        <w:rPr>
          <w:rFonts w:hint="eastAsia" w:ascii="宋体" w:hAnsi="宋体"/>
          <w:szCs w:val="21"/>
          <w:u w:val="none"/>
          <w:lang w:val="en-US" w:eastAsia="zh-CN"/>
        </w:rPr>
      </w:pPr>
      <w:r>
        <w:rPr>
          <w:rFonts w:hint="eastAsia" w:ascii="宋体" w:hAnsi="宋体"/>
          <w:szCs w:val="21"/>
        </w:rPr>
        <w:t>邮  编：</w:t>
      </w:r>
    </w:p>
    <w:p w14:paraId="09D83D79">
      <w:pPr>
        <w:pStyle w:val="321"/>
        <w:keepNext w:val="0"/>
        <w:keepLines w:val="0"/>
        <w:pageBreakBefore w:val="0"/>
        <w:widowControl w:val="0"/>
        <w:spacing w:before="0" w:after="0" w:line="360" w:lineRule="auto"/>
        <w:ind w:left="0" w:firstLine="480"/>
        <w:rPr>
          <w:rFonts w:hint="eastAsia" w:ascii="宋体" w:hAnsi="宋体"/>
          <w:szCs w:val="21"/>
          <w:u w:val="single"/>
          <w:lang w:val="en-US" w:eastAsia="zh-CN"/>
        </w:rPr>
      </w:pPr>
      <w:r>
        <w:rPr>
          <w:rFonts w:hint="eastAsia" w:ascii="宋体" w:hAnsi="宋体"/>
          <w:szCs w:val="21"/>
        </w:rPr>
        <w:t>电  话：</w:t>
      </w:r>
    </w:p>
    <w:p w14:paraId="54B86AF7">
      <w:pPr>
        <w:pStyle w:val="321"/>
        <w:keepNext w:val="0"/>
        <w:keepLines w:val="0"/>
        <w:pageBreakBefore w:val="0"/>
        <w:widowControl w:val="0"/>
        <w:spacing w:before="0" w:after="0" w:line="360" w:lineRule="auto"/>
        <w:ind w:left="0" w:firstLine="480"/>
        <w:rPr>
          <w:rFonts w:hint="eastAsia" w:ascii="宋体" w:hAnsi="宋体"/>
          <w:szCs w:val="21"/>
          <w:u w:val="single"/>
          <w:lang w:val="en-US" w:eastAsia="zh-CN"/>
        </w:rPr>
      </w:pPr>
      <w:r>
        <w:rPr>
          <w:rFonts w:hint="eastAsia" w:ascii="宋体" w:hAnsi="宋体"/>
          <w:szCs w:val="21"/>
        </w:rPr>
        <w:t>传  真：</w:t>
      </w:r>
    </w:p>
    <w:p w14:paraId="744A0863">
      <w:pPr>
        <w:pStyle w:val="321"/>
        <w:keepNext w:val="0"/>
        <w:keepLines w:val="0"/>
        <w:pageBreakBefore w:val="0"/>
        <w:widowControl w:val="0"/>
        <w:spacing w:before="0" w:after="0" w:line="360" w:lineRule="auto"/>
        <w:ind w:left="0" w:firstLine="480"/>
        <w:rPr>
          <w:rFonts w:hint="eastAsia" w:ascii="宋体" w:hAnsi="宋体"/>
          <w:szCs w:val="21"/>
          <w:u w:val="single"/>
          <w:lang w:val="en-US" w:eastAsia="zh-CN"/>
        </w:rPr>
      </w:pPr>
      <w:r>
        <w:rPr>
          <w:rFonts w:hint="eastAsia" w:ascii="宋体" w:hAnsi="宋体"/>
          <w:szCs w:val="21"/>
        </w:rPr>
        <w:t>开户行：</w:t>
      </w:r>
    </w:p>
    <w:p w14:paraId="3A17EA75">
      <w:pPr>
        <w:pStyle w:val="321"/>
        <w:keepNext w:val="0"/>
        <w:keepLines w:val="0"/>
        <w:pageBreakBefore w:val="0"/>
        <w:widowControl w:val="0"/>
        <w:spacing w:before="0" w:after="0" w:line="360" w:lineRule="auto"/>
        <w:ind w:left="0" w:firstLine="480"/>
        <w:rPr>
          <w:rFonts w:hint="eastAsia" w:ascii="宋体" w:hAnsi="宋体"/>
          <w:szCs w:val="21"/>
          <w:u w:val="single"/>
          <w:lang w:val="en-US" w:eastAsia="zh-CN"/>
        </w:rPr>
      </w:pPr>
      <w:r>
        <w:rPr>
          <w:rFonts w:hint="eastAsia" w:ascii="宋体" w:hAnsi="宋体"/>
          <w:szCs w:val="21"/>
        </w:rPr>
        <w:t>账  号：</w:t>
      </w:r>
    </w:p>
    <w:p w14:paraId="45896B38">
      <w:pPr>
        <w:keepNext w:val="0"/>
        <w:keepLines w:val="0"/>
        <w:pageBreakBefore w:val="0"/>
        <w:widowControl w:val="0"/>
        <w:spacing w:line="360" w:lineRule="auto"/>
        <w:ind w:right="180" w:firstLine="480"/>
        <w:jc w:val="both"/>
        <w:rPr>
          <w:rFonts w:hint="eastAsia" w:ascii="宋体" w:hAnsi="宋体"/>
          <w:sz w:val="24"/>
          <w:szCs w:val="24"/>
          <w:u w:val="none"/>
        </w:rPr>
      </w:pPr>
      <w:r>
        <w:rPr>
          <w:rFonts w:hint="eastAsia" w:ascii="宋体" w:hAnsi="宋体"/>
          <w:sz w:val="24"/>
          <w:szCs w:val="24"/>
          <w:lang w:val="en-US"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5280D221">
      <w:pPr>
        <w:pStyle w:val="321"/>
        <w:keepNext w:val="0"/>
        <w:keepLines w:val="0"/>
        <w:pageBreakBefore w:val="0"/>
        <w:widowControl w:val="0"/>
        <w:spacing w:before="0" w:after="0" w:line="360" w:lineRule="auto"/>
        <w:ind w:left="0" w:firstLine="480"/>
        <w:rPr>
          <w:rFonts w:hint="eastAsia" w:ascii="宋体" w:hAnsi="宋体"/>
          <w:szCs w:val="21"/>
        </w:rPr>
      </w:pPr>
      <w:r>
        <w:rPr>
          <w:rFonts w:hint="eastAsia" w:ascii="宋体" w:hAnsi="宋体"/>
          <w:szCs w:val="21"/>
        </w:rPr>
        <w:t>日  期：</w:t>
      </w:r>
    </w:p>
    <w:p w14:paraId="3C2A6543">
      <w:pPr>
        <w:rPr>
          <w:rFonts w:hint="eastAsia" w:ascii="宋体" w:hAnsi="宋体"/>
          <w:szCs w:val="21"/>
        </w:rPr>
      </w:pPr>
    </w:p>
    <w:p w14:paraId="7A48194D">
      <w:pPr>
        <w:rPr>
          <w:rFonts w:hint="eastAsia" w:ascii="宋体" w:hAnsi="宋体"/>
          <w:szCs w:val="21"/>
        </w:rPr>
      </w:pPr>
    </w:p>
    <w:p w14:paraId="1A865E7D">
      <w:pPr>
        <w:rPr>
          <w:rFonts w:hint="eastAsia" w:ascii="宋体" w:hAnsi="宋体"/>
          <w:szCs w:val="21"/>
        </w:rPr>
      </w:pPr>
    </w:p>
    <w:p w14:paraId="1987A92A">
      <w:pPr>
        <w:rPr>
          <w:rFonts w:hint="eastAsia" w:ascii="宋体" w:hAnsi="宋体"/>
          <w:szCs w:val="21"/>
        </w:rPr>
      </w:pPr>
    </w:p>
    <w:p w14:paraId="0D746F0C">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五、磋商报价表</w:t>
      </w:r>
    </w:p>
    <w:p w14:paraId="210C4089">
      <w:pPr>
        <w:keepNext w:val="0"/>
        <w:keepLines w:val="0"/>
        <w:pageBreakBefore w:val="0"/>
        <w:widowControl w:val="0"/>
        <w:spacing w:line="480" w:lineRule="auto"/>
        <w:jc w:val="center"/>
        <w:outlineLvl w:val="2"/>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磋商报价表</w:t>
      </w:r>
    </w:p>
    <w:p w14:paraId="28979F2E">
      <w:pPr>
        <w:rPr>
          <w:rFonts w:hint="eastAsia" w:ascii="宋体" w:hAnsi="宋体"/>
          <w:sz w:val="24"/>
          <w:szCs w:val="24"/>
        </w:rPr>
      </w:pPr>
      <w:r>
        <w:rPr>
          <w:rFonts w:hint="eastAsia" w:ascii="宋体" w:hAnsi="宋体"/>
          <w:sz w:val="24"/>
          <w:szCs w:val="24"/>
          <w:lang w:val="en-US" w:eastAsia="zh-CN"/>
        </w:rPr>
        <w:t>供应商名称：（加盖电子公章）</w:t>
      </w:r>
      <w:r>
        <w:rPr>
          <w:rFonts w:hint="eastAsia" w:ascii="宋体" w:hAnsi="宋体"/>
          <w:sz w:val="24"/>
          <w:szCs w:val="24"/>
        </w:rPr>
        <w:t xml:space="preserve"> </w:t>
      </w:r>
    </w:p>
    <w:p w14:paraId="7E620B79">
      <w:pPr>
        <w:keepNext w:val="0"/>
        <w:keepLines w:val="0"/>
        <w:pageBreakBefore w:val="0"/>
        <w:widowControl w:val="0"/>
        <w:spacing w:line="480" w:lineRule="auto"/>
        <w:ind w:firstLine="0"/>
        <w:rPr>
          <w:rFonts w:hint="eastAsia" w:ascii="宋体" w:hAnsi="宋体"/>
          <w:sz w:val="24"/>
          <w:szCs w:val="24"/>
        </w:rPr>
      </w:pPr>
      <w:r>
        <w:rPr>
          <w:rFonts w:hint="eastAsia" w:ascii="宋体" w:hAnsi="宋体"/>
          <w:sz w:val="24"/>
          <w:szCs w:val="24"/>
          <w:lang w:val="en-US" w:eastAsia="zh-CN"/>
        </w:rPr>
        <w:t>项目</w:t>
      </w:r>
      <w:r>
        <w:rPr>
          <w:rFonts w:hint="eastAsia" w:ascii="宋体" w:hAnsi="宋体"/>
          <w:sz w:val="24"/>
          <w:szCs w:val="24"/>
        </w:rPr>
        <w:t xml:space="preserve">编号：                                   </w:t>
      </w:r>
      <w:r>
        <w:rPr>
          <w:rFonts w:hint="eastAsia" w:ascii="宋体" w:hAnsi="宋体"/>
          <w:sz w:val="24"/>
          <w:szCs w:val="24"/>
          <w:lang w:eastAsia="zh-CN"/>
        </w:rPr>
        <w:t>采购包</w:t>
      </w:r>
      <w:r>
        <w:rPr>
          <w:rFonts w:hint="eastAsia" w:ascii="宋体" w:hAnsi="宋体"/>
          <w:sz w:val="24"/>
          <w:szCs w:val="24"/>
        </w:rPr>
        <w:t xml:space="preserve">号：                                 </w:t>
      </w:r>
    </w:p>
    <w:tbl>
      <w:tblPr>
        <w:tblStyle w:val="38"/>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1145D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14:paraId="2294A349">
            <w:pPr>
              <w:keepNext w:val="0"/>
              <w:keepLines w:val="0"/>
              <w:pageBreakBefore w:val="0"/>
              <w:widowControl w:val="0"/>
              <w:spacing w:line="480" w:lineRule="auto"/>
              <w:jc w:val="center"/>
              <w:rPr>
                <w:rFonts w:hint="eastAsia" w:ascii="宋体" w:hAnsi="宋体"/>
                <w:sz w:val="24"/>
                <w:szCs w:val="24"/>
              </w:rPr>
            </w:pPr>
            <w:r>
              <w:rPr>
                <w:rFonts w:hint="eastAsia" w:ascii="宋体" w:hAnsi="宋体"/>
                <w:sz w:val="24"/>
                <w:szCs w:val="24"/>
              </w:rPr>
              <w:t>总报价</w:t>
            </w:r>
          </w:p>
        </w:tc>
      </w:tr>
      <w:tr w14:paraId="14917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center"/>
          </w:tcPr>
          <w:p w14:paraId="6DFFE27B">
            <w:pPr>
              <w:pStyle w:val="321"/>
              <w:keepNext w:val="0"/>
              <w:keepLines w:val="0"/>
              <w:pageBreakBefore w:val="0"/>
              <w:widowControl w:val="0"/>
              <w:spacing w:before="0" w:after="0" w:line="480" w:lineRule="auto"/>
              <w:ind w:firstLine="0"/>
              <w:rPr>
                <w:rFonts w:hint="eastAsia" w:ascii="宋体" w:hAnsi="宋体"/>
                <w:szCs w:val="21"/>
              </w:rPr>
            </w:pPr>
            <w:r>
              <w:rPr>
                <w:rFonts w:hint="eastAsia" w:ascii="宋体" w:hAnsi="宋体" w:cs="宋体"/>
              </w:rPr>
              <w:t xml:space="preserve">小写（元）：                             </w:t>
            </w:r>
          </w:p>
        </w:tc>
      </w:tr>
    </w:tbl>
    <w:p w14:paraId="5CD782A7">
      <w:pPr>
        <w:rPr>
          <w:rFonts w:ascii="宋体" w:hAnsi="宋体"/>
          <w:sz w:val="24"/>
          <w:szCs w:val="24"/>
        </w:rPr>
      </w:pPr>
    </w:p>
    <w:p w14:paraId="3C789640">
      <w:pPr>
        <w:keepNext w:val="0"/>
        <w:keepLines w:val="0"/>
        <w:pageBreakBefore w:val="0"/>
        <w:widowControl w:val="0"/>
        <w:spacing w:line="480" w:lineRule="auto"/>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期：</w:t>
      </w:r>
    </w:p>
    <w:p w14:paraId="5D19A388">
      <w:pPr>
        <w:ind w:firstLine="480"/>
        <w:rPr>
          <w:rFonts w:hint="eastAsia" w:ascii="黑体" w:hAnsi="黑体" w:eastAsia="黑体"/>
          <w:b/>
          <w:i/>
          <w:sz w:val="32"/>
          <w:szCs w:val="32"/>
          <w:u w:val="single"/>
        </w:rPr>
      </w:pPr>
    </w:p>
    <w:p w14:paraId="35D65F13">
      <w:pPr>
        <w:spacing w:line="480" w:lineRule="exact"/>
        <w:ind w:firstLine="482"/>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备注：</w:t>
      </w:r>
      <w:r>
        <w:rPr>
          <w:rFonts w:hint="eastAsia" w:ascii="宋体" w:hAnsi="宋体" w:eastAsia="宋体" w:cs="Times New Roman"/>
          <w:b/>
          <w:bCs/>
          <w:color w:val="000000"/>
          <w:sz w:val="24"/>
          <w:szCs w:val="24"/>
          <w:lang w:val="en-US" w:eastAsia="zh-CN"/>
        </w:rPr>
        <w:t>供应商报价低于采购项目预算50%，或者低于采购项目最高限价45%，或者</w:t>
      </w:r>
      <w:r>
        <w:rPr>
          <w:rFonts w:hint="eastAsia" w:ascii="宋体" w:hAnsi="宋体" w:eastAsia="宋体" w:cs="Times New Roman"/>
          <w:b/>
          <w:bCs/>
          <w:color w:val="000000"/>
          <w:sz w:val="24"/>
          <w:szCs w:val="24"/>
          <w:lang w:val="zh-CN"/>
        </w:rPr>
        <w:t>报价</w:t>
      </w:r>
      <w:r>
        <w:rPr>
          <w:rFonts w:hint="eastAsia" w:ascii="宋体" w:hAnsi="宋体" w:eastAsia="宋体" w:cs="Times New Roman"/>
          <w:b/>
          <w:bCs/>
          <w:color w:val="000000"/>
          <w:sz w:val="24"/>
          <w:szCs w:val="24"/>
          <w:lang w:val="en-US" w:eastAsia="zh-CN"/>
        </w:rPr>
        <w:t>过低</w:t>
      </w:r>
      <w:r>
        <w:rPr>
          <w:rFonts w:hint="eastAsia" w:ascii="宋体" w:hAnsi="宋体" w:eastAsia="宋体" w:cs="Times New Roman"/>
          <w:b/>
          <w:bCs/>
          <w:color w:val="000000"/>
          <w:sz w:val="24"/>
          <w:szCs w:val="24"/>
          <w:lang w:val="zh-CN"/>
        </w:rPr>
        <w:t>，有可能影响</w:t>
      </w:r>
      <w:r>
        <w:rPr>
          <w:rFonts w:hint="eastAsia" w:ascii="宋体" w:hAnsi="宋体" w:eastAsia="宋体" w:cs="Times New Roman"/>
          <w:b/>
          <w:bCs/>
          <w:color w:val="000000"/>
          <w:sz w:val="24"/>
          <w:szCs w:val="24"/>
          <w:lang w:val="en-US" w:eastAsia="zh-CN"/>
        </w:rPr>
        <w:t>产品或服务</w:t>
      </w:r>
      <w:r>
        <w:rPr>
          <w:rFonts w:hint="eastAsia" w:ascii="宋体" w:hAnsi="宋体" w:eastAsia="宋体" w:cs="Times New Roman"/>
          <w:b/>
          <w:bCs/>
          <w:color w:val="000000"/>
          <w:sz w:val="24"/>
          <w:szCs w:val="24"/>
          <w:lang w:val="zh-CN"/>
        </w:rPr>
        <w:t>质量或不能诚信履约的，</w:t>
      </w:r>
      <w:r>
        <w:rPr>
          <w:rFonts w:hint="eastAsia" w:ascii="宋体" w:hAnsi="宋体" w:eastAsia="宋体" w:cs="Times New Roman"/>
          <w:b/>
          <w:bCs/>
          <w:sz w:val="24"/>
          <w:szCs w:val="24"/>
          <w:lang w:val="en-US" w:eastAsia="zh-CN"/>
        </w:rPr>
        <w:t>磋商小组将</w:t>
      </w:r>
      <w:r>
        <w:rPr>
          <w:rFonts w:hint="eastAsia" w:ascii="宋体" w:hAnsi="宋体" w:eastAsia="宋体" w:cs="Times New Roman"/>
          <w:b/>
          <w:bCs/>
          <w:color w:val="000000"/>
          <w:sz w:val="24"/>
          <w:szCs w:val="24"/>
          <w:lang w:val="en-US" w:eastAsia="zh-CN"/>
        </w:rPr>
        <w:t>启动异常低价投标审查机制，供应商</w:t>
      </w:r>
      <w:r>
        <w:rPr>
          <w:rFonts w:hint="eastAsia" w:ascii="宋体" w:hAnsi="宋体" w:eastAsia="宋体" w:cs="Times New Roman"/>
          <w:b/>
          <w:bCs/>
          <w:sz w:val="24"/>
          <w:szCs w:val="24"/>
          <w:lang w:val="en-US" w:eastAsia="zh-CN"/>
        </w:rPr>
        <w:t>应</w:t>
      </w:r>
      <w:r>
        <w:rPr>
          <w:rFonts w:hint="eastAsia" w:ascii="宋体" w:hAnsi="宋体" w:eastAsia="宋体" w:cs="Times New Roman"/>
          <w:b/>
          <w:bCs/>
          <w:color w:val="000000"/>
          <w:sz w:val="24"/>
          <w:szCs w:val="24"/>
          <w:lang w:val="zh-CN"/>
        </w:rPr>
        <w:t>在</w:t>
      </w:r>
      <w:r>
        <w:rPr>
          <w:rFonts w:hint="eastAsia" w:ascii="宋体" w:hAnsi="宋体" w:eastAsia="宋体" w:cs="Times New Roman"/>
          <w:b/>
          <w:bCs/>
          <w:sz w:val="24"/>
          <w:szCs w:val="24"/>
          <w:lang w:val="en-US" w:eastAsia="zh-CN"/>
        </w:rPr>
        <w:t>磋商小组规定的合理</w:t>
      </w:r>
      <w:r>
        <w:rPr>
          <w:rFonts w:hint="eastAsia" w:ascii="宋体" w:hAnsi="宋体" w:eastAsia="宋体" w:cs="Times New Roman"/>
          <w:b/>
          <w:bCs/>
          <w:color w:val="000000"/>
          <w:sz w:val="24"/>
          <w:szCs w:val="24"/>
          <w:lang w:val="zh-CN"/>
        </w:rPr>
        <w:t>时间内</w:t>
      </w:r>
      <w:r>
        <w:rPr>
          <w:rFonts w:hint="eastAsia" w:ascii="宋体" w:hAnsi="宋体" w:eastAsia="宋体" w:cs="Times New Roman"/>
          <w:b/>
          <w:bCs/>
          <w:sz w:val="24"/>
          <w:szCs w:val="24"/>
          <w:lang w:val="en-US" w:eastAsia="zh-CN"/>
        </w:rPr>
        <w:t>通过苏采云系统</w:t>
      </w:r>
      <w:r>
        <w:rPr>
          <w:rFonts w:hint="eastAsia" w:ascii="宋体" w:hAnsi="宋体" w:eastAsia="宋体" w:cs="Times New Roman"/>
          <w:b/>
          <w:bCs/>
          <w:color w:val="000000"/>
          <w:sz w:val="24"/>
          <w:szCs w:val="24"/>
          <w:lang w:val="zh-CN"/>
        </w:rPr>
        <w:t>提供</w:t>
      </w:r>
      <w:r>
        <w:rPr>
          <w:rFonts w:hint="eastAsia" w:ascii="宋体" w:hAnsi="宋体" w:eastAsia="宋体" w:cs="Times New Roman"/>
          <w:b/>
          <w:bCs/>
          <w:color w:val="000000"/>
          <w:sz w:val="24"/>
          <w:szCs w:val="24"/>
          <w:lang w:val="en-US" w:eastAsia="zh-CN"/>
        </w:rPr>
        <w:t>项目具体成本测算等与报价合理性相关的书面</w:t>
      </w:r>
      <w:r>
        <w:rPr>
          <w:rFonts w:hint="eastAsia" w:ascii="宋体" w:hAnsi="宋体" w:eastAsia="宋体" w:cs="Times New Roman"/>
          <w:b/>
          <w:bCs/>
          <w:color w:val="000000"/>
          <w:sz w:val="24"/>
          <w:szCs w:val="24"/>
          <w:lang w:val="zh-CN"/>
        </w:rPr>
        <w:t>说明</w:t>
      </w:r>
      <w:r>
        <w:rPr>
          <w:rFonts w:hint="eastAsia" w:ascii="宋体" w:hAnsi="宋体" w:eastAsia="宋体" w:cs="Times New Roman"/>
          <w:b/>
          <w:bCs/>
          <w:color w:val="000000"/>
          <w:sz w:val="24"/>
          <w:szCs w:val="24"/>
          <w:lang w:val="en-US" w:eastAsia="zh-CN"/>
        </w:rPr>
        <w:t>及相关证明材料</w:t>
      </w:r>
      <w:r>
        <w:rPr>
          <w:rFonts w:hint="eastAsia" w:ascii="宋体" w:hAnsi="宋体" w:eastAsia="宋体" w:cs="Times New Roman"/>
          <w:b/>
          <w:bCs/>
          <w:color w:val="000000"/>
          <w:sz w:val="24"/>
          <w:szCs w:val="24"/>
          <w:lang w:val="zh-CN"/>
        </w:rPr>
        <w:t>。</w:t>
      </w:r>
      <w:r>
        <w:rPr>
          <w:rFonts w:hint="eastAsia" w:ascii="宋体" w:hAnsi="宋体" w:eastAsia="宋体" w:cs="Times New Roman"/>
          <w:b/>
          <w:bCs/>
          <w:color w:val="000000"/>
          <w:sz w:val="24"/>
          <w:szCs w:val="24"/>
          <w:lang w:val="en-US" w:eastAsia="zh-CN"/>
        </w:rPr>
        <w:t>供应商不提供书面说明及证明材料，或者书面说明、证明材料</w:t>
      </w:r>
      <w:r>
        <w:rPr>
          <w:rFonts w:hint="eastAsia" w:ascii="宋体" w:hAnsi="宋体" w:eastAsia="宋体" w:cs="Times New Roman"/>
          <w:b/>
          <w:bCs/>
          <w:color w:val="000000"/>
          <w:sz w:val="24"/>
          <w:szCs w:val="24"/>
          <w:lang w:val="zh-CN"/>
        </w:rPr>
        <w:t>不能证明其报价合理性的，将作为无效</w:t>
      </w:r>
      <w:r>
        <w:rPr>
          <w:rFonts w:hint="eastAsia" w:ascii="宋体" w:hAnsi="宋体" w:eastAsia="宋体" w:cs="Times New Roman"/>
          <w:b/>
          <w:bCs/>
          <w:color w:val="000000"/>
          <w:sz w:val="24"/>
          <w:szCs w:val="24"/>
          <w:lang w:val="en-US" w:eastAsia="zh-CN"/>
        </w:rPr>
        <w:t>响应</w:t>
      </w:r>
      <w:r>
        <w:rPr>
          <w:rFonts w:hint="eastAsia" w:ascii="宋体" w:hAnsi="宋体" w:eastAsia="宋体" w:cs="Times New Roman"/>
          <w:b/>
          <w:bCs/>
          <w:color w:val="000000"/>
          <w:sz w:val="24"/>
          <w:szCs w:val="24"/>
          <w:lang w:val="zh-CN"/>
        </w:rPr>
        <w:t>处理。</w:t>
      </w:r>
    </w:p>
    <w:p w14:paraId="7C05A27A">
      <w:pPr>
        <w:pStyle w:val="301"/>
        <w:rPr>
          <w:rFonts w:hint="eastAsia"/>
        </w:rPr>
      </w:pPr>
    </w:p>
    <w:p w14:paraId="7241FAC8">
      <w:pPr>
        <w:pStyle w:val="245"/>
        <w:rPr>
          <w:rFonts w:hint="eastAsia" w:ascii="黑体" w:hAnsi="黑体" w:eastAsia="黑体"/>
          <w:b/>
          <w:i/>
          <w:sz w:val="32"/>
          <w:szCs w:val="32"/>
          <w:u w:val="single"/>
        </w:rPr>
      </w:pPr>
    </w:p>
    <w:p w14:paraId="7DE3F06C">
      <w:pPr>
        <w:rPr>
          <w:rFonts w:hint="eastAsia"/>
        </w:rPr>
      </w:pPr>
    </w:p>
    <w:p w14:paraId="281CB9AB">
      <w:pPr>
        <w:spacing w:line="360" w:lineRule="auto"/>
        <w:jc w:val="left"/>
        <w:rPr>
          <w:rFonts w:hint="eastAsia" w:ascii="黑体" w:hAnsi="黑体" w:eastAsia="黑体" w:cs="Times New Roman"/>
          <w:i w:val="0"/>
          <w:sz w:val="32"/>
          <w:szCs w:val="32"/>
          <w:u w:val="none"/>
          <w:lang w:val="en-US" w:eastAsia="zh-CN"/>
        </w:rPr>
      </w:pPr>
    </w:p>
    <w:p w14:paraId="39C92816">
      <w:pPr>
        <w:pStyle w:val="245"/>
        <w:rPr>
          <w:rFonts w:hint="eastAsia" w:ascii="黑体" w:hAnsi="黑体" w:eastAsia="黑体" w:cs="Times New Roman"/>
          <w:i w:val="0"/>
          <w:sz w:val="32"/>
          <w:szCs w:val="32"/>
          <w:u w:val="none"/>
          <w:lang w:val="en-US" w:eastAsia="zh-CN"/>
        </w:rPr>
      </w:pPr>
    </w:p>
    <w:p w14:paraId="2E816C28">
      <w:pPr>
        <w:rPr>
          <w:rFonts w:hint="eastAsia" w:ascii="黑体" w:hAnsi="黑体" w:eastAsia="黑体" w:cs="Times New Roman"/>
          <w:i w:val="0"/>
          <w:sz w:val="32"/>
          <w:szCs w:val="32"/>
          <w:u w:val="none"/>
          <w:lang w:val="en-US" w:eastAsia="zh-CN"/>
        </w:rPr>
      </w:pPr>
    </w:p>
    <w:p w14:paraId="26E179D2">
      <w:pPr>
        <w:pStyle w:val="245"/>
        <w:rPr>
          <w:rFonts w:hint="eastAsia" w:ascii="黑体" w:hAnsi="黑体" w:eastAsia="黑体" w:cs="Times New Roman"/>
          <w:i w:val="0"/>
          <w:sz w:val="32"/>
          <w:szCs w:val="32"/>
          <w:u w:val="none"/>
          <w:lang w:val="en-US" w:eastAsia="zh-CN"/>
        </w:rPr>
      </w:pPr>
    </w:p>
    <w:p w14:paraId="68C3CB22">
      <w:pPr>
        <w:rPr>
          <w:rFonts w:hint="eastAsia" w:ascii="黑体" w:hAnsi="黑体" w:eastAsia="黑体" w:cs="Times New Roman"/>
          <w:i w:val="0"/>
          <w:sz w:val="32"/>
          <w:szCs w:val="32"/>
          <w:u w:val="none"/>
          <w:lang w:val="en-US" w:eastAsia="zh-CN"/>
        </w:rPr>
      </w:pPr>
    </w:p>
    <w:p w14:paraId="24CB36B6">
      <w:pPr>
        <w:pStyle w:val="245"/>
        <w:rPr>
          <w:rFonts w:hint="eastAsia" w:ascii="黑体" w:hAnsi="黑体" w:eastAsia="黑体" w:cs="Times New Roman"/>
          <w:i w:val="0"/>
          <w:sz w:val="32"/>
          <w:szCs w:val="32"/>
          <w:u w:val="none"/>
          <w:lang w:val="en-US" w:eastAsia="zh-CN"/>
        </w:rPr>
      </w:pPr>
    </w:p>
    <w:p w14:paraId="23EBD44E">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r>
    </w:p>
    <w:p w14:paraId="2A0FFB30">
      <w:pPr>
        <w:spacing w:line="360" w:lineRule="auto"/>
        <w:jc w:val="left"/>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六、分项报价表</w:t>
      </w:r>
    </w:p>
    <w:p w14:paraId="43C8B0ED">
      <w:pPr>
        <w:spacing w:line="360" w:lineRule="auto"/>
        <w:jc w:val="center"/>
        <w:outlineLvl w:val="2"/>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分项报价表</w:t>
      </w:r>
    </w:p>
    <w:tbl>
      <w:tblPr>
        <w:tblStyle w:val="38"/>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2062"/>
        <w:gridCol w:w="1455"/>
        <w:gridCol w:w="1155"/>
        <w:gridCol w:w="1350"/>
        <w:gridCol w:w="1320"/>
        <w:gridCol w:w="1695"/>
      </w:tblGrid>
      <w:tr w14:paraId="05458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09E2394C">
            <w:pPr>
              <w:spacing w:line="0" w:lineRule="atLeast"/>
              <w:jc w:val="center"/>
              <w:rPr>
                <w:rFonts w:hint="eastAsia" w:ascii="宋体" w:hAnsi="宋体"/>
                <w:sz w:val="24"/>
                <w:szCs w:val="24"/>
              </w:rPr>
            </w:pPr>
            <w:r>
              <w:rPr>
                <w:rFonts w:hint="eastAsia" w:ascii="宋体" w:hAnsi="宋体"/>
                <w:sz w:val="24"/>
                <w:szCs w:val="24"/>
              </w:rPr>
              <w:t>序号</w:t>
            </w:r>
          </w:p>
        </w:tc>
        <w:tc>
          <w:tcPr>
            <w:tcW w:w="2062" w:type="dxa"/>
            <w:noWrap w:val="0"/>
            <w:vAlign w:val="center"/>
          </w:tcPr>
          <w:p w14:paraId="5EE647F4">
            <w:pPr>
              <w:spacing w:line="0" w:lineRule="atLeast"/>
              <w:jc w:val="center"/>
              <w:rPr>
                <w:rFonts w:hint="eastAsia" w:ascii="宋体" w:hAnsi="宋体"/>
                <w:sz w:val="24"/>
                <w:szCs w:val="24"/>
              </w:rPr>
            </w:pPr>
            <w:r>
              <w:rPr>
                <w:rFonts w:hint="eastAsia" w:ascii="宋体" w:hAnsi="宋体"/>
                <w:sz w:val="24"/>
                <w:szCs w:val="24"/>
              </w:rPr>
              <w:t>1</w:t>
            </w:r>
          </w:p>
        </w:tc>
        <w:tc>
          <w:tcPr>
            <w:tcW w:w="1455" w:type="dxa"/>
            <w:noWrap w:val="0"/>
            <w:vAlign w:val="center"/>
          </w:tcPr>
          <w:p w14:paraId="5E2AEC62">
            <w:pPr>
              <w:spacing w:line="0" w:lineRule="atLeast"/>
              <w:jc w:val="center"/>
              <w:rPr>
                <w:rFonts w:hint="eastAsia" w:ascii="宋体" w:hAnsi="宋体"/>
                <w:sz w:val="24"/>
                <w:szCs w:val="24"/>
                <w:lang w:val="en-US" w:eastAsia="zh-CN" w:bidi="ar-SA"/>
              </w:rPr>
            </w:pPr>
            <w:r>
              <w:rPr>
                <w:rFonts w:hint="eastAsia" w:ascii="宋体" w:hAnsi="宋体"/>
                <w:sz w:val="24"/>
                <w:szCs w:val="24"/>
              </w:rPr>
              <w:t>2</w:t>
            </w:r>
          </w:p>
        </w:tc>
        <w:tc>
          <w:tcPr>
            <w:tcW w:w="1155" w:type="dxa"/>
            <w:noWrap w:val="0"/>
            <w:vAlign w:val="center"/>
          </w:tcPr>
          <w:p w14:paraId="2244EADF">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3</w:t>
            </w:r>
          </w:p>
        </w:tc>
        <w:tc>
          <w:tcPr>
            <w:tcW w:w="1350" w:type="dxa"/>
            <w:noWrap w:val="0"/>
            <w:vAlign w:val="center"/>
          </w:tcPr>
          <w:p w14:paraId="23F5741C">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4</w:t>
            </w:r>
          </w:p>
        </w:tc>
        <w:tc>
          <w:tcPr>
            <w:tcW w:w="1320" w:type="dxa"/>
            <w:noWrap w:val="0"/>
            <w:vAlign w:val="center"/>
          </w:tcPr>
          <w:p w14:paraId="0A60F60D">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5</w:t>
            </w:r>
          </w:p>
        </w:tc>
        <w:tc>
          <w:tcPr>
            <w:tcW w:w="1695" w:type="dxa"/>
            <w:noWrap w:val="0"/>
            <w:vAlign w:val="center"/>
          </w:tcPr>
          <w:p w14:paraId="1BB683C7">
            <w:pPr>
              <w:spacing w:line="0" w:lineRule="atLeast"/>
              <w:jc w:val="center"/>
              <w:rPr>
                <w:rFonts w:ascii="宋体" w:hAnsi="宋体" w:eastAsia="宋体"/>
                <w:sz w:val="24"/>
                <w:szCs w:val="24"/>
                <w:lang w:val="en-US" w:eastAsia="zh-CN"/>
              </w:rPr>
            </w:pPr>
            <w:r>
              <w:rPr>
                <w:rFonts w:hint="eastAsia" w:ascii="宋体" w:hAnsi="宋体"/>
                <w:sz w:val="24"/>
                <w:szCs w:val="24"/>
                <w:lang w:val="en-US" w:eastAsia="zh-CN"/>
              </w:rPr>
              <w:t>6</w:t>
            </w:r>
          </w:p>
        </w:tc>
      </w:tr>
      <w:tr w14:paraId="5E994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rPr>
        <w:tc>
          <w:tcPr>
            <w:tcW w:w="581" w:type="dxa"/>
            <w:vMerge w:val="continue"/>
            <w:noWrap w:val="0"/>
            <w:vAlign w:val="center"/>
          </w:tcPr>
          <w:p w14:paraId="426B1CFE">
            <w:pPr>
              <w:spacing w:line="0" w:lineRule="atLeast"/>
              <w:jc w:val="center"/>
              <w:rPr>
                <w:rFonts w:hint="eastAsia" w:ascii="宋体" w:hAnsi="宋体"/>
                <w:sz w:val="24"/>
                <w:szCs w:val="24"/>
              </w:rPr>
            </w:pPr>
          </w:p>
        </w:tc>
        <w:tc>
          <w:tcPr>
            <w:tcW w:w="2062" w:type="dxa"/>
            <w:noWrap w:val="0"/>
            <w:vAlign w:val="center"/>
          </w:tcPr>
          <w:p w14:paraId="6CCA4BBC">
            <w:pPr>
              <w:spacing w:line="0" w:lineRule="atLeast"/>
              <w:jc w:val="center"/>
              <w:rPr>
                <w:rFonts w:hint="eastAsia" w:ascii="宋体" w:hAnsi="宋体"/>
                <w:sz w:val="24"/>
                <w:szCs w:val="24"/>
              </w:rPr>
            </w:pPr>
            <w:r>
              <w:rPr>
                <w:rFonts w:hint="eastAsia" w:ascii="宋体" w:hAnsi="宋体"/>
                <w:sz w:val="24"/>
                <w:szCs w:val="24"/>
                <w:lang w:val="en-US" w:eastAsia="zh-CN"/>
              </w:rPr>
              <w:t>分项</w:t>
            </w:r>
            <w:r>
              <w:rPr>
                <w:rFonts w:hint="eastAsia" w:ascii="宋体" w:hAnsi="宋体"/>
                <w:sz w:val="24"/>
                <w:szCs w:val="24"/>
              </w:rPr>
              <w:t>名称</w:t>
            </w:r>
          </w:p>
        </w:tc>
        <w:tc>
          <w:tcPr>
            <w:tcW w:w="1455" w:type="dxa"/>
            <w:noWrap w:val="0"/>
            <w:vAlign w:val="center"/>
          </w:tcPr>
          <w:p w14:paraId="73F16BF6">
            <w:pPr>
              <w:spacing w:line="0" w:lineRule="atLeast"/>
              <w:jc w:val="center"/>
              <w:rPr>
                <w:rFonts w:hint="eastAsia" w:ascii="宋体" w:hAnsi="宋体" w:eastAsia="宋体"/>
                <w:sz w:val="24"/>
                <w:szCs w:val="24"/>
                <w:lang w:eastAsia="zh-CN"/>
              </w:rPr>
            </w:pPr>
            <w:r>
              <w:rPr>
                <w:rFonts w:hint="eastAsia" w:ascii="宋体" w:hAnsi="宋体" w:eastAsia="宋体" w:cs="Times New Roman"/>
                <w:sz w:val="24"/>
                <w:szCs w:val="24"/>
                <w:lang w:val="en-US" w:eastAsia="zh-CN"/>
              </w:rPr>
              <w:t>交付期（天）</w:t>
            </w:r>
          </w:p>
        </w:tc>
        <w:tc>
          <w:tcPr>
            <w:tcW w:w="1155" w:type="dxa"/>
            <w:noWrap w:val="0"/>
            <w:vAlign w:val="center"/>
          </w:tcPr>
          <w:p w14:paraId="576FBE9E">
            <w:pPr>
              <w:spacing w:line="0" w:lineRule="atLeast"/>
              <w:jc w:val="center"/>
              <w:rPr>
                <w:rFonts w:hint="eastAsia" w:ascii="宋体" w:hAnsi="宋体" w:eastAsia="宋体"/>
                <w:sz w:val="24"/>
                <w:szCs w:val="24"/>
                <w:lang w:val="en-US" w:eastAsia="zh-CN"/>
              </w:rPr>
            </w:pPr>
            <w:r>
              <w:rPr>
                <w:rFonts w:hint="eastAsia" w:ascii="宋体" w:hAnsi="宋体"/>
                <w:sz w:val="24"/>
                <w:szCs w:val="24"/>
                <w:lang w:val="en-US" w:eastAsia="zh-CN"/>
              </w:rPr>
              <w:t>数量</w:t>
            </w:r>
          </w:p>
        </w:tc>
        <w:tc>
          <w:tcPr>
            <w:tcW w:w="1350" w:type="dxa"/>
            <w:noWrap w:val="0"/>
            <w:vAlign w:val="center"/>
          </w:tcPr>
          <w:p w14:paraId="654044B0">
            <w:pPr>
              <w:spacing w:line="0" w:lineRule="atLeast"/>
              <w:jc w:val="center"/>
              <w:rPr>
                <w:rFonts w:hint="eastAsia" w:ascii="宋体" w:hAnsi="宋体"/>
                <w:sz w:val="24"/>
                <w:szCs w:val="24"/>
              </w:rPr>
            </w:pPr>
            <w:r>
              <w:rPr>
                <w:rFonts w:hint="eastAsia" w:ascii="宋体" w:hAnsi="宋体"/>
                <w:sz w:val="24"/>
                <w:szCs w:val="24"/>
                <w:lang w:val="en-US" w:eastAsia="zh-CN"/>
              </w:rPr>
              <w:t>单位</w:t>
            </w:r>
          </w:p>
        </w:tc>
        <w:tc>
          <w:tcPr>
            <w:tcW w:w="1320" w:type="dxa"/>
            <w:noWrap w:val="0"/>
            <w:vAlign w:val="center"/>
          </w:tcPr>
          <w:p w14:paraId="1F7302CC">
            <w:pPr>
              <w:spacing w:line="0" w:lineRule="atLeast"/>
              <w:jc w:val="center"/>
              <w:rPr>
                <w:lang w:val="en-US" w:eastAsia="zh-CN"/>
              </w:rPr>
            </w:pPr>
            <w:r>
              <w:rPr>
                <w:rFonts w:hint="eastAsia" w:ascii="宋体" w:hAnsi="宋体" w:cs="Times New Roman"/>
                <w:sz w:val="24"/>
                <w:szCs w:val="24"/>
                <w:lang w:val="en-US" w:eastAsia="zh-CN"/>
              </w:rPr>
              <w:t>单</w:t>
            </w:r>
            <w:r>
              <w:rPr>
                <w:rFonts w:hint="eastAsia" w:ascii="宋体" w:hAnsi="宋体" w:eastAsia="宋体" w:cs="Times New Roman"/>
                <w:sz w:val="24"/>
                <w:szCs w:val="24"/>
                <w:lang w:val="en-US" w:eastAsia="zh-CN"/>
              </w:rPr>
              <w:t>价</w:t>
            </w:r>
            <w:r>
              <w:rPr>
                <w:rFonts w:hint="eastAsia" w:ascii="宋体" w:hAnsi="宋体" w:cs="Times New Roman"/>
                <w:sz w:val="24"/>
                <w:szCs w:val="24"/>
                <w:lang w:val="en-US" w:eastAsia="zh-CN"/>
              </w:rPr>
              <w:t>（元）</w:t>
            </w:r>
          </w:p>
        </w:tc>
        <w:tc>
          <w:tcPr>
            <w:tcW w:w="1695" w:type="dxa"/>
            <w:noWrap w:val="0"/>
            <w:vAlign w:val="center"/>
          </w:tcPr>
          <w:p w14:paraId="341A6F0B">
            <w:pPr>
              <w:spacing w:line="0" w:lineRule="atLeast"/>
              <w:jc w:val="center"/>
              <w:rPr>
                <w:rFonts w:hint="eastAsia" w:ascii="宋体" w:hAnsi="宋体" w:eastAsia="宋体"/>
                <w:sz w:val="24"/>
                <w:szCs w:val="24"/>
                <w:lang w:eastAsia="zh-CN"/>
              </w:rPr>
            </w:pPr>
            <w:r>
              <w:rPr>
                <w:rFonts w:hint="eastAsia" w:ascii="宋体" w:hAnsi="宋体" w:eastAsia="宋体" w:cs="Times New Roman"/>
                <w:sz w:val="24"/>
                <w:szCs w:val="24"/>
                <w:lang w:val="en-US" w:eastAsia="zh-CN"/>
              </w:rPr>
              <w:t>总价（元）</w:t>
            </w:r>
          </w:p>
        </w:tc>
      </w:tr>
      <w:tr w14:paraId="459C7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0CD87D42">
            <w:pPr>
              <w:spacing w:line="0" w:lineRule="atLeast"/>
              <w:jc w:val="center"/>
              <w:rPr>
                <w:rFonts w:hint="eastAsia" w:ascii="宋体" w:hAnsi="宋体"/>
                <w:sz w:val="24"/>
                <w:szCs w:val="24"/>
              </w:rPr>
            </w:pPr>
            <w:r>
              <w:rPr>
                <w:rFonts w:hint="eastAsia" w:ascii="宋体" w:hAnsi="宋体"/>
                <w:sz w:val="24"/>
                <w:szCs w:val="24"/>
              </w:rPr>
              <w:t>1</w:t>
            </w:r>
          </w:p>
        </w:tc>
        <w:tc>
          <w:tcPr>
            <w:tcW w:w="2062" w:type="dxa"/>
            <w:noWrap w:val="0"/>
            <w:vAlign w:val="center"/>
          </w:tcPr>
          <w:p w14:paraId="5F9EF7CB">
            <w:pPr>
              <w:spacing w:line="0" w:lineRule="atLeast"/>
              <w:jc w:val="center"/>
              <w:rPr>
                <w:rFonts w:hint="eastAsia" w:ascii="宋体" w:hAnsi="宋体"/>
                <w:sz w:val="24"/>
                <w:szCs w:val="24"/>
              </w:rPr>
            </w:pPr>
          </w:p>
        </w:tc>
        <w:tc>
          <w:tcPr>
            <w:tcW w:w="1455" w:type="dxa"/>
            <w:noWrap w:val="0"/>
            <w:vAlign w:val="center"/>
          </w:tcPr>
          <w:p w14:paraId="1C2C9BB5">
            <w:pPr>
              <w:spacing w:line="0" w:lineRule="atLeast"/>
              <w:jc w:val="center"/>
              <w:rPr>
                <w:rFonts w:hint="eastAsia" w:ascii="宋体" w:hAnsi="宋体"/>
                <w:sz w:val="24"/>
                <w:szCs w:val="24"/>
              </w:rPr>
            </w:pPr>
          </w:p>
        </w:tc>
        <w:tc>
          <w:tcPr>
            <w:tcW w:w="1155" w:type="dxa"/>
            <w:noWrap w:val="0"/>
            <w:vAlign w:val="center"/>
          </w:tcPr>
          <w:p w14:paraId="1C1E70AE">
            <w:pPr>
              <w:spacing w:line="0" w:lineRule="atLeast"/>
              <w:jc w:val="center"/>
              <w:rPr>
                <w:rFonts w:hint="eastAsia" w:ascii="宋体" w:hAnsi="宋体"/>
                <w:sz w:val="24"/>
                <w:szCs w:val="24"/>
              </w:rPr>
            </w:pPr>
          </w:p>
        </w:tc>
        <w:tc>
          <w:tcPr>
            <w:tcW w:w="1350" w:type="dxa"/>
            <w:noWrap w:val="0"/>
            <w:vAlign w:val="center"/>
          </w:tcPr>
          <w:p w14:paraId="240AC8F3">
            <w:pPr>
              <w:spacing w:line="0" w:lineRule="atLeast"/>
              <w:jc w:val="center"/>
              <w:rPr>
                <w:rFonts w:hint="eastAsia" w:ascii="宋体" w:hAnsi="宋体"/>
                <w:sz w:val="24"/>
                <w:szCs w:val="24"/>
              </w:rPr>
            </w:pPr>
          </w:p>
        </w:tc>
        <w:tc>
          <w:tcPr>
            <w:tcW w:w="1320" w:type="dxa"/>
            <w:noWrap w:val="0"/>
            <w:vAlign w:val="center"/>
          </w:tcPr>
          <w:p w14:paraId="7117B51D">
            <w:pPr>
              <w:spacing w:line="0" w:lineRule="atLeast"/>
              <w:jc w:val="center"/>
              <w:rPr>
                <w:rFonts w:hint="eastAsia" w:ascii="宋体" w:hAnsi="宋体"/>
                <w:sz w:val="24"/>
                <w:szCs w:val="24"/>
              </w:rPr>
            </w:pPr>
          </w:p>
        </w:tc>
        <w:tc>
          <w:tcPr>
            <w:tcW w:w="1695" w:type="dxa"/>
            <w:noWrap w:val="0"/>
            <w:vAlign w:val="center"/>
          </w:tcPr>
          <w:p w14:paraId="07114C36">
            <w:pPr>
              <w:spacing w:line="0" w:lineRule="atLeast"/>
              <w:jc w:val="center"/>
              <w:rPr>
                <w:rFonts w:hint="eastAsia" w:ascii="宋体" w:hAnsi="宋体"/>
                <w:sz w:val="24"/>
                <w:szCs w:val="24"/>
              </w:rPr>
            </w:pPr>
          </w:p>
        </w:tc>
      </w:tr>
      <w:tr w14:paraId="39079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4776670B">
            <w:pPr>
              <w:spacing w:line="0" w:lineRule="atLeast"/>
              <w:jc w:val="center"/>
              <w:rPr>
                <w:rFonts w:hint="eastAsia" w:ascii="宋体" w:hAnsi="宋体"/>
                <w:sz w:val="24"/>
                <w:szCs w:val="24"/>
              </w:rPr>
            </w:pPr>
            <w:r>
              <w:rPr>
                <w:rFonts w:hint="eastAsia" w:ascii="宋体" w:hAnsi="宋体"/>
                <w:sz w:val="24"/>
                <w:szCs w:val="24"/>
              </w:rPr>
              <w:t>2</w:t>
            </w:r>
          </w:p>
        </w:tc>
        <w:tc>
          <w:tcPr>
            <w:tcW w:w="2062" w:type="dxa"/>
            <w:noWrap w:val="0"/>
            <w:vAlign w:val="center"/>
          </w:tcPr>
          <w:p w14:paraId="3AAAB712">
            <w:pPr>
              <w:spacing w:line="0" w:lineRule="atLeast"/>
              <w:jc w:val="center"/>
              <w:rPr>
                <w:rFonts w:hint="eastAsia" w:ascii="宋体" w:hAnsi="宋体"/>
                <w:sz w:val="24"/>
                <w:szCs w:val="24"/>
              </w:rPr>
            </w:pPr>
          </w:p>
        </w:tc>
        <w:tc>
          <w:tcPr>
            <w:tcW w:w="1455" w:type="dxa"/>
            <w:noWrap w:val="0"/>
            <w:vAlign w:val="center"/>
          </w:tcPr>
          <w:p w14:paraId="31542801">
            <w:pPr>
              <w:spacing w:line="0" w:lineRule="atLeast"/>
              <w:jc w:val="center"/>
              <w:rPr>
                <w:rFonts w:hint="eastAsia" w:ascii="宋体" w:hAnsi="宋体"/>
                <w:sz w:val="24"/>
                <w:szCs w:val="24"/>
              </w:rPr>
            </w:pPr>
          </w:p>
        </w:tc>
        <w:tc>
          <w:tcPr>
            <w:tcW w:w="1155" w:type="dxa"/>
            <w:noWrap w:val="0"/>
            <w:vAlign w:val="center"/>
          </w:tcPr>
          <w:p w14:paraId="4D287381">
            <w:pPr>
              <w:spacing w:line="0" w:lineRule="atLeast"/>
              <w:jc w:val="center"/>
              <w:rPr>
                <w:rFonts w:hint="eastAsia" w:ascii="宋体" w:hAnsi="宋体"/>
                <w:sz w:val="24"/>
                <w:szCs w:val="24"/>
              </w:rPr>
            </w:pPr>
          </w:p>
        </w:tc>
        <w:tc>
          <w:tcPr>
            <w:tcW w:w="1350" w:type="dxa"/>
            <w:noWrap w:val="0"/>
            <w:vAlign w:val="center"/>
          </w:tcPr>
          <w:p w14:paraId="16F190AA">
            <w:pPr>
              <w:spacing w:line="0" w:lineRule="atLeast"/>
              <w:jc w:val="center"/>
              <w:rPr>
                <w:rFonts w:hint="eastAsia" w:ascii="宋体" w:hAnsi="宋体"/>
                <w:sz w:val="24"/>
                <w:szCs w:val="24"/>
              </w:rPr>
            </w:pPr>
          </w:p>
        </w:tc>
        <w:tc>
          <w:tcPr>
            <w:tcW w:w="1320" w:type="dxa"/>
            <w:noWrap w:val="0"/>
            <w:vAlign w:val="center"/>
          </w:tcPr>
          <w:p w14:paraId="36BF0842">
            <w:pPr>
              <w:spacing w:line="0" w:lineRule="atLeast"/>
              <w:jc w:val="center"/>
              <w:rPr>
                <w:rFonts w:hint="eastAsia" w:ascii="宋体" w:hAnsi="宋体"/>
                <w:sz w:val="24"/>
                <w:szCs w:val="24"/>
              </w:rPr>
            </w:pPr>
          </w:p>
        </w:tc>
        <w:tc>
          <w:tcPr>
            <w:tcW w:w="1695" w:type="dxa"/>
            <w:noWrap w:val="0"/>
            <w:vAlign w:val="center"/>
          </w:tcPr>
          <w:p w14:paraId="3E2FBDB4">
            <w:pPr>
              <w:spacing w:line="0" w:lineRule="atLeast"/>
              <w:jc w:val="center"/>
              <w:rPr>
                <w:rFonts w:hint="eastAsia" w:ascii="宋体" w:hAnsi="宋体"/>
                <w:sz w:val="24"/>
                <w:szCs w:val="24"/>
              </w:rPr>
            </w:pPr>
          </w:p>
        </w:tc>
      </w:tr>
      <w:tr w14:paraId="069DB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16A428BB">
            <w:pPr>
              <w:spacing w:line="0" w:lineRule="atLeast"/>
              <w:jc w:val="center"/>
              <w:rPr>
                <w:rFonts w:hint="eastAsia" w:ascii="宋体" w:hAnsi="宋体"/>
                <w:sz w:val="24"/>
                <w:szCs w:val="24"/>
              </w:rPr>
            </w:pPr>
            <w:r>
              <w:rPr>
                <w:rFonts w:hint="eastAsia" w:ascii="宋体" w:hAnsi="宋体"/>
                <w:sz w:val="24"/>
                <w:szCs w:val="24"/>
              </w:rPr>
              <w:t>3</w:t>
            </w:r>
          </w:p>
        </w:tc>
        <w:tc>
          <w:tcPr>
            <w:tcW w:w="2062" w:type="dxa"/>
            <w:noWrap w:val="0"/>
            <w:vAlign w:val="center"/>
          </w:tcPr>
          <w:p w14:paraId="5B074449">
            <w:pPr>
              <w:spacing w:line="0" w:lineRule="atLeast"/>
              <w:jc w:val="center"/>
              <w:rPr>
                <w:rFonts w:hint="eastAsia" w:ascii="宋体" w:hAnsi="宋体"/>
                <w:sz w:val="24"/>
                <w:szCs w:val="24"/>
              </w:rPr>
            </w:pPr>
          </w:p>
        </w:tc>
        <w:tc>
          <w:tcPr>
            <w:tcW w:w="1455" w:type="dxa"/>
            <w:noWrap w:val="0"/>
            <w:vAlign w:val="center"/>
          </w:tcPr>
          <w:p w14:paraId="0099E5D7">
            <w:pPr>
              <w:spacing w:line="0" w:lineRule="atLeast"/>
              <w:jc w:val="center"/>
              <w:rPr>
                <w:rFonts w:hint="eastAsia" w:ascii="宋体" w:hAnsi="宋体"/>
                <w:sz w:val="24"/>
                <w:szCs w:val="24"/>
              </w:rPr>
            </w:pPr>
          </w:p>
        </w:tc>
        <w:tc>
          <w:tcPr>
            <w:tcW w:w="1155" w:type="dxa"/>
            <w:noWrap w:val="0"/>
            <w:vAlign w:val="center"/>
          </w:tcPr>
          <w:p w14:paraId="67ACC811">
            <w:pPr>
              <w:spacing w:line="0" w:lineRule="atLeast"/>
              <w:jc w:val="center"/>
              <w:rPr>
                <w:rFonts w:hint="eastAsia" w:ascii="宋体" w:hAnsi="宋体"/>
                <w:sz w:val="24"/>
                <w:szCs w:val="24"/>
              </w:rPr>
            </w:pPr>
          </w:p>
        </w:tc>
        <w:tc>
          <w:tcPr>
            <w:tcW w:w="1350" w:type="dxa"/>
            <w:noWrap w:val="0"/>
            <w:vAlign w:val="center"/>
          </w:tcPr>
          <w:p w14:paraId="0415208A">
            <w:pPr>
              <w:spacing w:line="0" w:lineRule="atLeast"/>
              <w:jc w:val="center"/>
              <w:rPr>
                <w:rFonts w:hint="eastAsia" w:ascii="宋体" w:hAnsi="宋体"/>
                <w:sz w:val="24"/>
                <w:szCs w:val="24"/>
              </w:rPr>
            </w:pPr>
          </w:p>
        </w:tc>
        <w:tc>
          <w:tcPr>
            <w:tcW w:w="1320" w:type="dxa"/>
            <w:noWrap w:val="0"/>
            <w:vAlign w:val="center"/>
          </w:tcPr>
          <w:p w14:paraId="447CB592">
            <w:pPr>
              <w:spacing w:line="0" w:lineRule="atLeast"/>
              <w:jc w:val="center"/>
              <w:rPr>
                <w:rFonts w:hint="eastAsia" w:ascii="宋体" w:hAnsi="宋体"/>
                <w:sz w:val="24"/>
                <w:szCs w:val="24"/>
              </w:rPr>
            </w:pPr>
          </w:p>
        </w:tc>
        <w:tc>
          <w:tcPr>
            <w:tcW w:w="1695" w:type="dxa"/>
            <w:noWrap w:val="0"/>
            <w:vAlign w:val="center"/>
          </w:tcPr>
          <w:p w14:paraId="7ADD4191">
            <w:pPr>
              <w:spacing w:line="0" w:lineRule="atLeast"/>
              <w:jc w:val="center"/>
              <w:rPr>
                <w:rFonts w:hint="eastAsia" w:ascii="宋体" w:hAnsi="宋体"/>
                <w:sz w:val="24"/>
                <w:szCs w:val="24"/>
              </w:rPr>
            </w:pPr>
          </w:p>
        </w:tc>
      </w:tr>
      <w:tr w14:paraId="18822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66A4EEA9">
            <w:pPr>
              <w:spacing w:line="0" w:lineRule="atLeast"/>
              <w:jc w:val="center"/>
              <w:rPr>
                <w:rFonts w:hint="eastAsia" w:ascii="宋体" w:hAnsi="宋体"/>
                <w:sz w:val="24"/>
                <w:szCs w:val="24"/>
              </w:rPr>
            </w:pPr>
            <w:r>
              <w:rPr>
                <w:rFonts w:ascii="宋体" w:hAnsi="宋体"/>
                <w:sz w:val="24"/>
                <w:szCs w:val="24"/>
              </w:rPr>
              <w:t>…</w:t>
            </w:r>
          </w:p>
        </w:tc>
        <w:tc>
          <w:tcPr>
            <w:tcW w:w="2062" w:type="dxa"/>
            <w:noWrap w:val="0"/>
            <w:vAlign w:val="center"/>
          </w:tcPr>
          <w:p w14:paraId="2CB159F4">
            <w:pPr>
              <w:spacing w:line="0" w:lineRule="atLeast"/>
              <w:jc w:val="center"/>
              <w:rPr>
                <w:rFonts w:ascii="宋体" w:hAnsi="宋体" w:eastAsia="宋体"/>
                <w:sz w:val="24"/>
                <w:szCs w:val="24"/>
                <w:lang w:val="en-US" w:eastAsia="zh-CN"/>
              </w:rPr>
            </w:pPr>
            <w:r>
              <w:rPr>
                <w:rFonts w:hint="eastAsia" w:ascii="宋体" w:hAnsi="宋体"/>
                <w:sz w:val="24"/>
                <w:szCs w:val="24"/>
                <w:lang w:val="en-US" w:eastAsia="zh-CN"/>
              </w:rPr>
              <w:t>总报价（元）</w:t>
            </w:r>
          </w:p>
        </w:tc>
        <w:tc>
          <w:tcPr>
            <w:tcW w:w="6975" w:type="dxa"/>
            <w:gridSpan w:val="5"/>
            <w:noWrap w:val="0"/>
            <w:vAlign w:val="center"/>
          </w:tcPr>
          <w:p w14:paraId="53EECDE6">
            <w:pPr>
              <w:spacing w:line="0" w:lineRule="atLeast"/>
              <w:jc w:val="center"/>
              <w:rPr>
                <w:rFonts w:hint="eastAsia" w:ascii="宋体" w:hAnsi="宋体"/>
                <w:sz w:val="24"/>
                <w:szCs w:val="24"/>
              </w:rPr>
            </w:pPr>
          </w:p>
        </w:tc>
      </w:tr>
    </w:tbl>
    <w:p w14:paraId="7059C3AE">
      <w:pPr>
        <w:pStyle w:val="29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14:paraId="031B36E1">
      <w:pPr>
        <w:keepNext w:val="0"/>
        <w:keepLines w:val="0"/>
        <w:pageBreakBefore w:val="0"/>
        <w:spacing w:line="360" w:lineRule="auto"/>
        <w:ind w:right="180" w:firstLine="480"/>
        <w:jc w:val="both"/>
        <w:rPr>
          <w:rFonts w:hint="eastAsia" w:ascii="宋体" w:hAnsi="宋体"/>
          <w:sz w:val="24"/>
          <w:szCs w:val="24"/>
          <w:u w:val="none"/>
        </w:rPr>
      </w:pPr>
      <w:r>
        <w:rPr>
          <w:rFonts w:hint="eastAsia" w:ascii="宋体" w:hAnsi="宋体"/>
          <w:sz w:val="24"/>
          <w:szCs w:val="24"/>
          <w:lang w:val="en-US"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0DBF5B55">
      <w:pPr>
        <w:keepNext w:val="0"/>
        <w:keepLines w:val="0"/>
        <w:pageBreakBefore w:val="0"/>
        <w:spacing w:line="360" w:lineRule="auto"/>
        <w:rPr>
          <w:rFonts w:ascii="宋体" w:hAnsi="宋体" w:eastAsia="宋体" w:cs="Times New Roman"/>
          <w:sz w:val="24"/>
          <w:lang w:val="en-US" w:eastAsia="zh-CN"/>
        </w:rPr>
      </w:pPr>
    </w:p>
    <w:p w14:paraId="53376371">
      <w:pPr>
        <w:pStyle w:val="29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备注： </w:t>
      </w:r>
    </w:p>
    <w:p w14:paraId="5139B426">
      <w:pPr>
        <w:pStyle w:val="29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1.“总报价”应包括为完成整个项目所产生的所有费用，采购文件另有规定的除外。</w:t>
      </w:r>
    </w:p>
    <w:p w14:paraId="39C08012">
      <w:pPr>
        <w:pStyle w:val="29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2.《分项报价表》中“总</w:t>
      </w:r>
      <w:r>
        <w:rPr>
          <w:rFonts w:hint="eastAsia" w:cs="宋体"/>
          <w:color w:val="000000"/>
          <w:sz w:val="24"/>
          <w:szCs w:val="24"/>
          <w:lang w:val="en-US" w:eastAsia="zh-CN"/>
        </w:rPr>
        <w:t>报</w:t>
      </w:r>
      <w:r>
        <w:rPr>
          <w:rFonts w:hint="eastAsia" w:ascii="宋体" w:hAnsi="宋体" w:eastAsia="宋体" w:cs="宋体"/>
          <w:color w:val="000000"/>
          <w:sz w:val="24"/>
          <w:szCs w:val="24"/>
          <w:lang w:val="en-US" w:eastAsia="zh-CN"/>
        </w:rPr>
        <w:t>价”应当与《磋商报价表》中“总</w:t>
      </w:r>
      <w:r>
        <w:rPr>
          <w:rFonts w:hint="eastAsia" w:cs="宋体"/>
          <w:color w:val="000000"/>
          <w:sz w:val="24"/>
          <w:szCs w:val="24"/>
          <w:lang w:val="en-US" w:eastAsia="zh-CN"/>
        </w:rPr>
        <w:t>报</w:t>
      </w:r>
      <w:r>
        <w:rPr>
          <w:rFonts w:hint="eastAsia" w:ascii="宋体" w:hAnsi="宋体" w:eastAsia="宋体" w:cs="宋体"/>
          <w:color w:val="000000"/>
          <w:sz w:val="24"/>
          <w:szCs w:val="24"/>
          <w:lang w:val="en-US" w:eastAsia="zh-CN"/>
        </w:rPr>
        <w:t>价”一致。</w:t>
      </w:r>
    </w:p>
    <w:p w14:paraId="213C8864">
      <w:pPr>
        <w:pStyle w:val="29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3.《分项报价表》中的分项名称须与“第四章-</w:t>
      </w:r>
      <w:r>
        <w:rPr>
          <w:rFonts w:hint="eastAsia" w:cs="宋体"/>
          <w:color w:val="000000"/>
          <w:sz w:val="24"/>
          <w:szCs w:val="24"/>
          <w:lang w:val="en-US" w:eastAsia="zh-CN"/>
        </w:rPr>
        <w:t>项目</w:t>
      </w:r>
      <w:r>
        <w:rPr>
          <w:rFonts w:hint="eastAsia" w:ascii="宋体" w:hAnsi="宋体" w:eastAsia="宋体" w:cs="宋体"/>
          <w:color w:val="000000"/>
          <w:sz w:val="24"/>
          <w:szCs w:val="24"/>
          <w:lang w:val="en-US" w:eastAsia="zh-CN"/>
        </w:rPr>
        <w:t>清单”中的名称一一对应，如有缺项、漏项</w:t>
      </w:r>
      <w:r>
        <w:rPr>
          <w:rFonts w:hint="eastAsia" w:cs="宋体"/>
          <w:color w:val="000000"/>
          <w:sz w:val="24"/>
          <w:szCs w:val="24"/>
          <w:lang w:val="en-US" w:eastAsia="zh-CN"/>
        </w:rPr>
        <w:t>或者超出单价上限的</w:t>
      </w:r>
      <w:r>
        <w:rPr>
          <w:rFonts w:hint="eastAsia" w:ascii="宋体" w:hAnsi="宋体" w:eastAsia="宋体" w:cs="宋体"/>
          <w:color w:val="000000"/>
          <w:sz w:val="24"/>
          <w:szCs w:val="24"/>
          <w:lang w:val="en-US" w:eastAsia="zh-CN"/>
        </w:rPr>
        <w:t>，视为无效响应。</w:t>
      </w:r>
      <w:r>
        <w:rPr>
          <w:rFonts w:hint="eastAsia" w:ascii="宋体" w:hAnsi="宋体" w:eastAsia="宋体" w:cs="宋体"/>
          <w:b w:val="0"/>
          <w:bCs w:val="0"/>
          <w:color w:val="000000"/>
          <w:sz w:val="24"/>
          <w:szCs w:val="24"/>
          <w:lang w:val="en-US" w:eastAsia="zh-CN"/>
        </w:rPr>
        <w:t>“项目清单”中分项仅为一项的，此表无需提供。</w:t>
      </w:r>
    </w:p>
    <w:p w14:paraId="5BBD2825">
      <w:pPr>
        <w:pStyle w:val="29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4.行数不够，可自行添加。</w:t>
      </w:r>
    </w:p>
    <w:p w14:paraId="5F3D0DC8">
      <w:pPr>
        <w:adjustRightInd w:val="0"/>
        <w:snapToGrid w:val="0"/>
        <w:spacing w:line="360" w:lineRule="auto"/>
        <w:ind w:firstLine="0" w:firstLineChars="0"/>
        <w:jc w:val="left"/>
        <w:outlineLvl w:val="9"/>
        <w:rPr>
          <w:rFonts w:hint="eastAsia" w:ascii="黑体" w:hAnsi="黑体" w:eastAsia="黑体" w:cs="Times New Roman"/>
          <w:i w:val="0"/>
          <w:kern w:val="2"/>
          <w:sz w:val="32"/>
          <w:szCs w:val="32"/>
          <w:u w:val="none"/>
          <w:lang w:val="en-US" w:eastAsia="zh-CN" w:bidi="ar-SA"/>
        </w:rPr>
      </w:pPr>
      <w:r>
        <w:rPr>
          <w:rFonts w:hint="eastAsia" w:ascii="黑体" w:hAnsi="黑体" w:eastAsia="黑体" w:cs="Times New Roman"/>
          <w:i/>
          <w:sz w:val="32"/>
          <w:szCs w:val="32"/>
          <w:u w:val="single"/>
          <w:lang w:val="en-US" w:eastAsia="zh-CN"/>
        </w:rPr>
        <w:br w:type="page" w:clear="all"/>
      </w:r>
      <w:bookmarkEnd w:id="191"/>
      <w:r>
        <w:rPr>
          <w:rFonts w:hint="eastAsia" w:ascii="黑体" w:hAnsi="黑体" w:eastAsia="黑体" w:cs="Times New Roman"/>
          <w:i w:val="0"/>
          <w:kern w:val="2"/>
          <w:sz w:val="32"/>
          <w:szCs w:val="32"/>
          <w:u w:val="none"/>
          <w:lang w:val="en-US" w:eastAsia="zh-CN" w:bidi="ar-SA"/>
        </w:rPr>
        <w:t>七、核心产品品牌一览表</w:t>
      </w:r>
    </w:p>
    <w:p w14:paraId="577A28A3">
      <w:pPr>
        <w:widowControl w:val="0"/>
        <w:adjustRightInd w:val="0"/>
        <w:snapToGrid w:val="0"/>
        <w:spacing w:line="360" w:lineRule="auto"/>
        <w:jc w:val="center"/>
        <w:outlineLvl w:val="2"/>
        <w:rPr>
          <w:rFonts w:hint="eastAsia" w:ascii="方正小标宋简体" w:hAnsi="方正小标宋简体" w:eastAsia="方正小标宋简体" w:cs="方正小标宋简体"/>
          <w:color w:val="000000"/>
          <w:kern w:val="2"/>
          <w:sz w:val="32"/>
          <w:szCs w:val="32"/>
          <w:lang w:val="en-US" w:eastAsia="zh-CN" w:bidi="ar-SA"/>
        </w:rPr>
      </w:pPr>
      <w:r>
        <w:rPr>
          <w:rFonts w:hint="eastAsia" w:ascii="方正小标宋简体" w:hAnsi="方正小标宋简体" w:eastAsia="方正小标宋简体" w:cs="方正小标宋简体"/>
          <w:color w:val="000000"/>
          <w:kern w:val="2"/>
          <w:sz w:val="32"/>
          <w:szCs w:val="32"/>
          <w:lang w:val="en-US" w:eastAsia="zh-CN" w:bidi="ar-SA"/>
        </w:rPr>
        <w:t>核心产品品牌一览表</w:t>
      </w:r>
    </w:p>
    <w:tbl>
      <w:tblPr>
        <w:tblStyle w:val="38"/>
        <w:tblpPr w:leftFromText="180" w:rightFromText="180" w:vertAnchor="text" w:horzAnchor="margin" w:tblpXSpec="center" w:tblpY="133"/>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3753"/>
        <w:gridCol w:w="2158"/>
        <w:gridCol w:w="2601"/>
      </w:tblGrid>
      <w:tr w14:paraId="44B6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251" w:type="dxa"/>
            <w:tcBorders>
              <w:top w:val="single" w:color="auto" w:sz="4" w:space="0"/>
              <w:left w:val="single" w:color="auto" w:sz="4" w:space="0"/>
              <w:bottom w:val="single" w:color="auto" w:sz="4" w:space="0"/>
              <w:right w:val="single" w:color="auto" w:sz="4" w:space="0"/>
            </w:tcBorders>
            <w:noWrap w:val="0"/>
            <w:vAlign w:val="center"/>
          </w:tcPr>
          <w:p w14:paraId="7228C78B">
            <w:pPr>
              <w:widowControl/>
              <w:spacing w:line="0" w:lineRule="atLeast"/>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序号</w:t>
            </w:r>
          </w:p>
        </w:tc>
        <w:tc>
          <w:tcPr>
            <w:tcW w:w="3753" w:type="dxa"/>
            <w:tcBorders>
              <w:top w:val="single" w:color="auto" w:sz="4" w:space="0"/>
              <w:left w:val="single" w:color="auto" w:sz="4" w:space="0"/>
              <w:right w:val="single" w:color="auto" w:sz="4" w:space="0"/>
            </w:tcBorders>
            <w:noWrap w:val="0"/>
            <w:vAlign w:val="center"/>
          </w:tcPr>
          <w:p w14:paraId="4C1F7BE3">
            <w:pPr>
              <w:widowControl/>
              <w:spacing w:line="0" w:lineRule="atLeast"/>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产品名称</w:t>
            </w:r>
          </w:p>
        </w:tc>
        <w:tc>
          <w:tcPr>
            <w:tcW w:w="2158" w:type="dxa"/>
            <w:tcBorders>
              <w:top w:val="single" w:color="auto" w:sz="4" w:space="0"/>
              <w:left w:val="single" w:color="auto" w:sz="4" w:space="0"/>
              <w:right w:val="single" w:color="auto" w:sz="4" w:space="0"/>
            </w:tcBorders>
            <w:noWrap w:val="0"/>
            <w:vAlign w:val="center"/>
          </w:tcPr>
          <w:p w14:paraId="1CB558F0">
            <w:pPr>
              <w:widowControl/>
              <w:spacing w:line="0" w:lineRule="atLeast"/>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产品品牌</w:t>
            </w:r>
          </w:p>
        </w:tc>
        <w:tc>
          <w:tcPr>
            <w:tcW w:w="2601" w:type="dxa"/>
            <w:tcBorders>
              <w:top w:val="single" w:color="auto" w:sz="4" w:space="0"/>
              <w:left w:val="single" w:color="auto" w:sz="4" w:space="0"/>
              <w:right w:val="single" w:color="auto" w:sz="4" w:space="0"/>
            </w:tcBorders>
            <w:noWrap w:val="0"/>
            <w:vAlign w:val="center"/>
          </w:tcPr>
          <w:p w14:paraId="2228406A">
            <w:pPr>
              <w:widowControl/>
              <w:spacing w:line="0" w:lineRule="atLeast"/>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规格或型号</w:t>
            </w:r>
          </w:p>
        </w:tc>
      </w:tr>
      <w:tr w14:paraId="4152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1" w:type="dxa"/>
            <w:tcBorders>
              <w:top w:val="single" w:color="auto" w:sz="4" w:space="0"/>
              <w:left w:val="single" w:color="auto" w:sz="4" w:space="0"/>
              <w:bottom w:val="single" w:color="auto" w:sz="4" w:space="0"/>
              <w:right w:val="single" w:color="auto" w:sz="4" w:space="0"/>
            </w:tcBorders>
            <w:noWrap w:val="0"/>
            <w:vAlign w:val="center"/>
          </w:tcPr>
          <w:p w14:paraId="5F1CE7CC">
            <w:pPr>
              <w:spacing w:line="0" w:lineRule="atLeast"/>
              <w:jc w:val="center"/>
              <w:rPr>
                <w:rFonts w:hint="eastAsia" w:ascii="宋体" w:hAnsi="宋体" w:eastAsia="宋体" w:cs="Times New Roman"/>
                <w:kern w:val="2"/>
                <w:sz w:val="24"/>
                <w:szCs w:val="24"/>
                <w:lang w:val="zh-CN" w:eastAsia="zh-CN" w:bidi="ar-SA"/>
              </w:rPr>
            </w:pPr>
            <w:r>
              <w:rPr>
                <w:rFonts w:hint="default" w:ascii="宋体" w:hAnsi="宋体" w:eastAsia="宋体" w:cs="宋体"/>
                <w:kern w:val="0"/>
                <w:sz w:val="21"/>
                <w:szCs w:val="21"/>
                <w:lang w:val="zh-CN" w:eastAsia="zh-CN" w:bidi="ar-SA"/>
              </w:rPr>
              <w:t>1</w:t>
            </w:r>
          </w:p>
        </w:tc>
        <w:tc>
          <w:tcPr>
            <w:tcW w:w="3753" w:type="dxa"/>
            <w:tcBorders>
              <w:left w:val="single" w:color="auto" w:sz="4" w:space="0"/>
              <w:right w:val="single" w:color="auto" w:sz="4" w:space="0"/>
            </w:tcBorders>
            <w:noWrap w:val="0"/>
            <w:vAlign w:val="center"/>
          </w:tcPr>
          <w:p w14:paraId="56C23B1F">
            <w:pPr>
              <w:spacing w:line="0" w:lineRule="atLeast"/>
              <w:jc w:val="center"/>
              <w:rPr>
                <w:rFonts w:hint="eastAsia" w:ascii="宋体" w:hAnsi="宋体" w:eastAsia="宋体" w:cs="Times New Roman"/>
                <w:kern w:val="2"/>
                <w:sz w:val="24"/>
                <w:szCs w:val="24"/>
                <w:lang w:val="zh-CN" w:eastAsia="zh-CN" w:bidi="ar-SA"/>
              </w:rPr>
            </w:pPr>
          </w:p>
        </w:tc>
        <w:tc>
          <w:tcPr>
            <w:tcW w:w="2158" w:type="dxa"/>
            <w:tcBorders>
              <w:left w:val="single" w:color="auto" w:sz="4" w:space="0"/>
              <w:right w:val="single" w:color="auto" w:sz="4" w:space="0"/>
            </w:tcBorders>
            <w:noWrap w:val="0"/>
            <w:vAlign w:val="top"/>
          </w:tcPr>
          <w:p w14:paraId="14F5F85F">
            <w:pPr>
              <w:spacing w:line="0" w:lineRule="atLeast"/>
              <w:jc w:val="center"/>
              <w:rPr>
                <w:rFonts w:hint="eastAsia" w:ascii="宋体" w:hAnsi="宋体" w:eastAsia="宋体" w:cs="Times New Roman"/>
                <w:kern w:val="2"/>
                <w:sz w:val="24"/>
                <w:szCs w:val="24"/>
                <w:lang w:val="zh-CN" w:eastAsia="zh-CN" w:bidi="ar-SA"/>
              </w:rPr>
            </w:pPr>
          </w:p>
        </w:tc>
        <w:tc>
          <w:tcPr>
            <w:tcW w:w="2601" w:type="dxa"/>
            <w:tcBorders>
              <w:left w:val="single" w:color="auto" w:sz="4" w:space="0"/>
              <w:right w:val="single" w:color="auto" w:sz="4" w:space="0"/>
            </w:tcBorders>
            <w:noWrap w:val="0"/>
            <w:vAlign w:val="top"/>
          </w:tcPr>
          <w:p w14:paraId="728F0782">
            <w:pPr>
              <w:spacing w:line="0" w:lineRule="atLeast"/>
              <w:jc w:val="center"/>
              <w:rPr>
                <w:rFonts w:hint="eastAsia" w:ascii="宋体" w:hAnsi="宋体" w:eastAsia="宋体" w:cs="Times New Roman"/>
                <w:kern w:val="2"/>
                <w:sz w:val="24"/>
                <w:szCs w:val="24"/>
                <w:lang w:val="zh-CN" w:eastAsia="zh-CN" w:bidi="ar-SA"/>
              </w:rPr>
            </w:pPr>
          </w:p>
        </w:tc>
      </w:tr>
    </w:tbl>
    <w:p w14:paraId="5E405411">
      <w:pPr>
        <w:widowControl/>
        <w:adjustRightInd w:val="0"/>
        <w:spacing w:line="360" w:lineRule="auto"/>
        <w:ind w:firstLine="480" w:firstLineChars="200"/>
        <w:jc w:val="left"/>
        <w:rPr>
          <w:rFonts w:hint="eastAsia" w:ascii="宋体" w:hAnsi="宋体" w:eastAsia="宋体" w:cs="Times New Roman"/>
          <w:color w:val="000000"/>
          <w:kern w:val="2"/>
          <w:sz w:val="24"/>
          <w:szCs w:val="24"/>
          <w:lang w:val="en-US" w:eastAsia="zh-CN" w:bidi="ar-SA"/>
        </w:rPr>
      </w:pPr>
    </w:p>
    <w:p w14:paraId="7A61FAE7">
      <w:pPr>
        <w:ind w:firstLine="480" w:firstLineChars="200"/>
        <w:rPr>
          <w:rFonts w:hint="eastAsia" w:ascii="宋体" w:hAnsi="宋体" w:eastAsia="宋体" w:cs="Times New Roman"/>
          <w:kern w:val="2"/>
          <w:sz w:val="24"/>
          <w:szCs w:val="24"/>
          <w:lang w:val="zh-CN" w:eastAsia="zh-CN" w:bidi="ar-SA"/>
        </w:rPr>
      </w:pPr>
      <w:r>
        <w:rPr>
          <w:rFonts w:hint="eastAsia" w:ascii="宋体" w:hAnsi="宋体" w:eastAsia="宋体" w:cs="Times New Roman"/>
          <w:kern w:val="2"/>
          <w:sz w:val="24"/>
          <w:szCs w:val="24"/>
          <w:lang w:val="en-US" w:eastAsia="zh-CN" w:bidi="ar-SA"/>
        </w:rPr>
        <w:t>投标人</w:t>
      </w:r>
      <w:r>
        <w:rPr>
          <w:rFonts w:hint="eastAsia" w:ascii="宋体" w:hAnsi="宋体" w:eastAsia="宋体" w:cs="Times New Roman"/>
          <w:kern w:val="2"/>
          <w:sz w:val="24"/>
          <w:szCs w:val="24"/>
          <w:lang w:val="zh-CN" w:eastAsia="zh-CN" w:bidi="ar-SA"/>
        </w:rPr>
        <w:t>名称：（</w:t>
      </w:r>
      <w:r>
        <w:rPr>
          <w:rFonts w:hint="eastAsia" w:ascii="宋体" w:hAnsi="宋体" w:eastAsia="宋体" w:cs="Times New Roman"/>
          <w:kern w:val="2"/>
          <w:sz w:val="24"/>
          <w:szCs w:val="24"/>
          <w:lang w:val="en-US" w:eastAsia="zh-CN" w:bidi="ar-SA"/>
        </w:rPr>
        <w:t>加盖电子公章</w:t>
      </w:r>
      <w:r>
        <w:rPr>
          <w:rFonts w:hint="eastAsia" w:ascii="宋体" w:hAnsi="宋体" w:eastAsia="宋体" w:cs="Times New Roman"/>
          <w:kern w:val="2"/>
          <w:sz w:val="24"/>
          <w:szCs w:val="24"/>
          <w:lang w:val="zh-CN" w:eastAsia="zh-CN" w:bidi="ar-SA"/>
        </w:rPr>
        <w:t>）</w:t>
      </w:r>
    </w:p>
    <w:p w14:paraId="62B18E12">
      <w:pPr>
        <w:spacing w:line="480" w:lineRule="exact"/>
        <w:ind w:firstLine="482" w:firstLineChars="200"/>
        <w:rPr>
          <w:rFonts w:hint="eastAsia" w:ascii="宋体" w:hAnsi="宋体" w:eastAsia="宋体" w:cs="Times New Roman"/>
          <w:b/>
          <w:bCs/>
          <w:kern w:val="2"/>
          <w:sz w:val="24"/>
          <w:szCs w:val="24"/>
          <w:lang w:val="en-US" w:eastAsia="zh-CN" w:bidi="ar-SA"/>
        </w:rPr>
      </w:pPr>
    </w:p>
    <w:p w14:paraId="1FACFACD">
      <w:pPr>
        <w:spacing w:line="480" w:lineRule="exact"/>
        <w:ind w:firstLine="482" w:firstLineChars="200"/>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备注：供应商</w:t>
      </w:r>
      <w:r>
        <w:rPr>
          <w:rFonts w:hint="eastAsia" w:ascii="宋体" w:hAnsi="宋体" w:cs="Times New Roman"/>
          <w:b/>
          <w:bCs/>
          <w:kern w:val="2"/>
          <w:sz w:val="24"/>
          <w:szCs w:val="24"/>
          <w:lang w:val="en-US" w:eastAsia="zh-CN" w:bidi="ar-SA"/>
        </w:rPr>
        <w:t>须按照表格要求明确填写所投“核心产品”的</w:t>
      </w:r>
      <w:r>
        <w:rPr>
          <w:rFonts w:hint="eastAsia" w:ascii="宋体" w:hAnsi="宋体" w:eastAsia="宋体" w:cs="Times New Roman"/>
          <w:b/>
          <w:bCs/>
          <w:kern w:val="2"/>
          <w:sz w:val="24"/>
          <w:szCs w:val="24"/>
          <w:lang w:val="en-US" w:eastAsia="zh-CN" w:bidi="ar-SA"/>
        </w:rPr>
        <w:t>品牌，不得填报“/”</w:t>
      </w:r>
      <w:r>
        <w:rPr>
          <w:rFonts w:hint="eastAsia" w:ascii="宋体" w:hAnsi="宋体" w:cs="Times New Roman"/>
          <w:b/>
          <w:bCs/>
          <w:kern w:val="2"/>
          <w:sz w:val="24"/>
          <w:szCs w:val="24"/>
          <w:lang w:val="en-US" w:eastAsia="zh-CN" w:bidi="ar-SA"/>
        </w:rPr>
        <w:t>“</w:t>
      </w:r>
      <w:r>
        <w:rPr>
          <w:rFonts w:hint="eastAsia" w:ascii="宋体" w:hAnsi="宋体" w:eastAsia="宋体" w:cs="Times New Roman"/>
          <w:b/>
          <w:bCs/>
          <w:kern w:val="2"/>
          <w:sz w:val="24"/>
          <w:szCs w:val="24"/>
          <w:lang w:val="en-US" w:eastAsia="zh-CN" w:bidi="ar-SA"/>
        </w:rPr>
        <w:t>无”</w:t>
      </w:r>
      <w:r>
        <w:rPr>
          <w:rFonts w:hint="eastAsia" w:ascii="宋体" w:hAnsi="宋体" w:cs="Times New Roman"/>
          <w:b/>
          <w:bCs/>
          <w:kern w:val="2"/>
          <w:sz w:val="24"/>
          <w:szCs w:val="24"/>
          <w:lang w:val="en-US" w:eastAsia="zh-CN" w:bidi="ar-SA"/>
        </w:rPr>
        <w:t>等内容</w:t>
      </w:r>
      <w:r>
        <w:rPr>
          <w:rFonts w:hint="eastAsia" w:ascii="宋体" w:hAnsi="宋体" w:eastAsia="宋体" w:cs="Times New Roman"/>
          <w:b/>
          <w:bCs/>
          <w:kern w:val="2"/>
          <w:sz w:val="24"/>
          <w:szCs w:val="24"/>
          <w:lang w:val="en-US" w:eastAsia="zh-CN" w:bidi="ar-SA"/>
        </w:rPr>
        <w:t>，</w:t>
      </w:r>
      <w:r>
        <w:rPr>
          <w:rFonts w:hint="eastAsia" w:ascii="宋体" w:hAnsi="宋体" w:cs="Times New Roman"/>
          <w:b/>
          <w:bCs/>
          <w:kern w:val="2"/>
          <w:sz w:val="24"/>
          <w:szCs w:val="24"/>
          <w:lang w:val="en-US" w:eastAsia="zh-CN" w:bidi="ar-SA"/>
        </w:rPr>
        <w:t>否则</w:t>
      </w:r>
      <w:r>
        <w:rPr>
          <w:rFonts w:hint="eastAsia" w:ascii="宋体" w:hAnsi="宋体" w:eastAsia="宋体" w:cs="Times New Roman"/>
          <w:b/>
          <w:bCs/>
          <w:kern w:val="2"/>
          <w:sz w:val="24"/>
          <w:szCs w:val="24"/>
          <w:lang w:val="en-US" w:eastAsia="zh-CN" w:bidi="ar-SA"/>
        </w:rPr>
        <w:t>视为无效投标。</w:t>
      </w:r>
    </w:p>
    <w:p w14:paraId="11C7949F">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p>
    <w:p w14:paraId="1934C7F5">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八、技术要求响应及偏离表</w:t>
      </w:r>
    </w:p>
    <w:p w14:paraId="18FD92EC">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技术要求响应及偏离表</w:t>
      </w:r>
    </w:p>
    <w:tbl>
      <w:tblPr>
        <w:tblStyle w:val="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14:paraId="56167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1658819F">
            <w:pPr>
              <w:jc w:val="center"/>
              <w:rPr>
                <w:rFonts w:hint="eastAsia" w:ascii="宋体" w:hAnsi="宋体"/>
                <w:color w:val="000000"/>
                <w:sz w:val="24"/>
                <w:szCs w:val="24"/>
              </w:rPr>
            </w:pPr>
            <w:r>
              <w:rPr>
                <w:rFonts w:hint="eastAsia" w:ascii="宋体" w:hAnsi="宋体"/>
                <w:color w:val="000000"/>
                <w:sz w:val="24"/>
                <w:szCs w:val="24"/>
              </w:rPr>
              <w:t>序号</w:t>
            </w:r>
          </w:p>
        </w:tc>
        <w:tc>
          <w:tcPr>
            <w:tcW w:w="2925" w:type="dxa"/>
            <w:noWrap w:val="0"/>
            <w:vAlign w:val="center"/>
          </w:tcPr>
          <w:p w14:paraId="041BBB25">
            <w:pPr>
              <w:jc w:val="center"/>
              <w:rPr>
                <w:rFonts w:hint="eastAsia" w:ascii="宋体" w:hAnsi="宋体"/>
                <w:color w:val="000000"/>
                <w:sz w:val="24"/>
                <w:szCs w:val="24"/>
              </w:rPr>
            </w:pPr>
            <w:r>
              <w:rPr>
                <w:rFonts w:hint="eastAsia" w:ascii="宋体" w:hAnsi="宋体"/>
                <w:color w:val="000000"/>
                <w:sz w:val="24"/>
                <w:szCs w:val="24"/>
                <w:lang w:eastAsia="zh-CN"/>
              </w:rPr>
              <w:t>磋商</w:t>
            </w:r>
            <w:r>
              <w:rPr>
                <w:rFonts w:hint="eastAsia" w:ascii="宋体" w:hAnsi="宋体"/>
                <w:color w:val="000000"/>
                <w:sz w:val="24"/>
                <w:szCs w:val="24"/>
              </w:rPr>
              <w:t>文件要求</w:t>
            </w:r>
          </w:p>
        </w:tc>
        <w:tc>
          <w:tcPr>
            <w:tcW w:w="2832" w:type="dxa"/>
            <w:noWrap w:val="0"/>
            <w:vAlign w:val="center"/>
          </w:tcPr>
          <w:p w14:paraId="77EA80CD">
            <w:pPr>
              <w:jc w:val="center"/>
              <w:rPr>
                <w:rFonts w:hint="eastAsia" w:ascii="宋体" w:hAnsi="宋体"/>
                <w:color w:val="000000"/>
                <w:sz w:val="24"/>
                <w:szCs w:val="24"/>
              </w:rPr>
            </w:pPr>
            <w:r>
              <w:rPr>
                <w:rFonts w:hint="eastAsia" w:ascii="宋体" w:hAnsi="宋体"/>
                <w:color w:val="000000"/>
                <w:sz w:val="24"/>
                <w:szCs w:val="24"/>
              </w:rPr>
              <w:t>响应情况</w:t>
            </w:r>
          </w:p>
        </w:tc>
        <w:tc>
          <w:tcPr>
            <w:tcW w:w="3365" w:type="dxa"/>
            <w:noWrap w:val="0"/>
            <w:vAlign w:val="center"/>
          </w:tcPr>
          <w:p w14:paraId="360A980C">
            <w:pPr>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1EEEF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C435153">
            <w:pPr>
              <w:jc w:val="center"/>
              <w:rPr>
                <w:rFonts w:hint="eastAsia" w:ascii="宋体" w:hAnsi="宋体"/>
                <w:color w:val="000000"/>
                <w:sz w:val="24"/>
                <w:szCs w:val="24"/>
              </w:rPr>
            </w:pPr>
          </w:p>
        </w:tc>
        <w:tc>
          <w:tcPr>
            <w:tcW w:w="2925" w:type="dxa"/>
            <w:noWrap w:val="0"/>
            <w:vAlign w:val="top"/>
          </w:tcPr>
          <w:p w14:paraId="295E9A07">
            <w:pPr>
              <w:jc w:val="center"/>
              <w:rPr>
                <w:rFonts w:hint="eastAsia" w:ascii="宋体" w:hAnsi="宋体"/>
                <w:color w:val="000000"/>
                <w:sz w:val="24"/>
                <w:szCs w:val="24"/>
              </w:rPr>
            </w:pPr>
          </w:p>
        </w:tc>
        <w:tc>
          <w:tcPr>
            <w:tcW w:w="2832" w:type="dxa"/>
            <w:noWrap w:val="0"/>
            <w:vAlign w:val="top"/>
          </w:tcPr>
          <w:p w14:paraId="511000F5">
            <w:pPr>
              <w:jc w:val="center"/>
              <w:rPr>
                <w:rFonts w:hint="eastAsia" w:ascii="宋体" w:hAnsi="宋体"/>
                <w:color w:val="000000"/>
                <w:sz w:val="24"/>
                <w:szCs w:val="24"/>
              </w:rPr>
            </w:pPr>
          </w:p>
        </w:tc>
        <w:tc>
          <w:tcPr>
            <w:tcW w:w="3365" w:type="dxa"/>
            <w:noWrap w:val="0"/>
            <w:vAlign w:val="top"/>
          </w:tcPr>
          <w:p w14:paraId="647DBA1A">
            <w:pPr>
              <w:jc w:val="center"/>
              <w:rPr>
                <w:rFonts w:hint="eastAsia" w:ascii="宋体" w:hAnsi="宋体"/>
                <w:color w:val="000000"/>
                <w:sz w:val="24"/>
                <w:szCs w:val="24"/>
              </w:rPr>
            </w:pPr>
          </w:p>
        </w:tc>
      </w:tr>
      <w:tr w14:paraId="2F5D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A541652">
            <w:pPr>
              <w:jc w:val="center"/>
              <w:rPr>
                <w:rFonts w:hint="eastAsia" w:ascii="宋体" w:hAnsi="宋体"/>
                <w:color w:val="000000"/>
                <w:sz w:val="24"/>
                <w:szCs w:val="24"/>
              </w:rPr>
            </w:pPr>
          </w:p>
        </w:tc>
        <w:tc>
          <w:tcPr>
            <w:tcW w:w="2925" w:type="dxa"/>
            <w:noWrap w:val="0"/>
            <w:vAlign w:val="top"/>
          </w:tcPr>
          <w:p w14:paraId="0DD53EFD">
            <w:pPr>
              <w:jc w:val="center"/>
              <w:rPr>
                <w:rFonts w:hint="eastAsia" w:ascii="宋体" w:hAnsi="宋体"/>
                <w:color w:val="000000"/>
                <w:sz w:val="24"/>
                <w:szCs w:val="24"/>
              </w:rPr>
            </w:pPr>
          </w:p>
        </w:tc>
        <w:tc>
          <w:tcPr>
            <w:tcW w:w="2832" w:type="dxa"/>
            <w:noWrap w:val="0"/>
            <w:vAlign w:val="top"/>
          </w:tcPr>
          <w:p w14:paraId="618E5DE7">
            <w:pPr>
              <w:jc w:val="center"/>
              <w:rPr>
                <w:rFonts w:hint="eastAsia" w:ascii="宋体" w:hAnsi="宋体"/>
                <w:color w:val="000000"/>
                <w:sz w:val="24"/>
                <w:szCs w:val="24"/>
              </w:rPr>
            </w:pPr>
          </w:p>
        </w:tc>
        <w:tc>
          <w:tcPr>
            <w:tcW w:w="3365" w:type="dxa"/>
            <w:noWrap w:val="0"/>
            <w:vAlign w:val="top"/>
          </w:tcPr>
          <w:p w14:paraId="4C68BDA8">
            <w:pPr>
              <w:jc w:val="center"/>
              <w:rPr>
                <w:rFonts w:hint="eastAsia" w:ascii="宋体" w:hAnsi="宋体"/>
                <w:color w:val="000000"/>
                <w:sz w:val="24"/>
                <w:szCs w:val="24"/>
              </w:rPr>
            </w:pPr>
          </w:p>
        </w:tc>
      </w:tr>
      <w:tr w14:paraId="77778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F8DE0F8">
            <w:pPr>
              <w:jc w:val="center"/>
              <w:rPr>
                <w:rFonts w:hint="eastAsia" w:ascii="宋体" w:hAnsi="宋体"/>
                <w:color w:val="000000"/>
                <w:sz w:val="24"/>
                <w:szCs w:val="24"/>
              </w:rPr>
            </w:pPr>
          </w:p>
        </w:tc>
        <w:tc>
          <w:tcPr>
            <w:tcW w:w="2925" w:type="dxa"/>
            <w:noWrap w:val="0"/>
            <w:vAlign w:val="top"/>
          </w:tcPr>
          <w:p w14:paraId="0E50D622">
            <w:pPr>
              <w:jc w:val="center"/>
              <w:rPr>
                <w:rFonts w:hint="eastAsia" w:ascii="宋体" w:hAnsi="宋体"/>
                <w:color w:val="000000"/>
                <w:sz w:val="24"/>
                <w:szCs w:val="24"/>
              </w:rPr>
            </w:pPr>
          </w:p>
        </w:tc>
        <w:tc>
          <w:tcPr>
            <w:tcW w:w="2832" w:type="dxa"/>
            <w:noWrap w:val="0"/>
            <w:vAlign w:val="top"/>
          </w:tcPr>
          <w:p w14:paraId="22AB4EDB">
            <w:pPr>
              <w:jc w:val="center"/>
              <w:rPr>
                <w:rFonts w:hint="eastAsia" w:ascii="宋体" w:hAnsi="宋体"/>
                <w:color w:val="000000"/>
                <w:sz w:val="24"/>
                <w:szCs w:val="24"/>
              </w:rPr>
            </w:pPr>
          </w:p>
        </w:tc>
        <w:tc>
          <w:tcPr>
            <w:tcW w:w="3365" w:type="dxa"/>
            <w:noWrap w:val="0"/>
            <w:vAlign w:val="top"/>
          </w:tcPr>
          <w:p w14:paraId="403952E8">
            <w:pPr>
              <w:jc w:val="center"/>
              <w:rPr>
                <w:rFonts w:hint="eastAsia" w:ascii="宋体" w:hAnsi="宋体"/>
                <w:color w:val="000000"/>
                <w:sz w:val="24"/>
                <w:szCs w:val="24"/>
              </w:rPr>
            </w:pPr>
          </w:p>
        </w:tc>
      </w:tr>
      <w:tr w14:paraId="01663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2F546A86">
            <w:pPr>
              <w:jc w:val="center"/>
              <w:rPr>
                <w:rFonts w:hint="eastAsia" w:ascii="宋体" w:hAnsi="宋体"/>
                <w:color w:val="000000"/>
                <w:sz w:val="24"/>
                <w:szCs w:val="24"/>
              </w:rPr>
            </w:pPr>
          </w:p>
        </w:tc>
        <w:tc>
          <w:tcPr>
            <w:tcW w:w="2925" w:type="dxa"/>
            <w:noWrap w:val="0"/>
            <w:vAlign w:val="top"/>
          </w:tcPr>
          <w:p w14:paraId="70AF0946">
            <w:pPr>
              <w:jc w:val="center"/>
              <w:rPr>
                <w:rFonts w:hint="eastAsia" w:ascii="宋体" w:hAnsi="宋体"/>
                <w:color w:val="000000"/>
                <w:sz w:val="24"/>
                <w:szCs w:val="24"/>
              </w:rPr>
            </w:pPr>
          </w:p>
        </w:tc>
        <w:tc>
          <w:tcPr>
            <w:tcW w:w="2832" w:type="dxa"/>
            <w:noWrap w:val="0"/>
            <w:vAlign w:val="top"/>
          </w:tcPr>
          <w:p w14:paraId="1A585C11">
            <w:pPr>
              <w:jc w:val="center"/>
              <w:rPr>
                <w:rFonts w:hint="eastAsia" w:ascii="宋体" w:hAnsi="宋体"/>
                <w:color w:val="000000"/>
                <w:sz w:val="24"/>
                <w:szCs w:val="24"/>
              </w:rPr>
            </w:pPr>
          </w:p>
        </w:tc>
        <w:tc>
          <w:tcPr>
            <w:tcW w:w="3365" w:type="dxa"/>
            <w:noWrap w:val="0"/>
            <w:vAlign w:val="top"/>
          </w:tcPr>
          <w:p w14:paraId="061461CC">
            <w:pPr>
              <w:jc w:val="center"/>
              <w:rPr>
                <w:rFonts w:hint="eastAsia" w:ascii="宋体" w:hAnsi="宋体"/>
                <w:color w:val="000000"/>
                <w:sz w:val="24"/>
                <w:szCs w:val="24"/>
              </w:rPr>
            </w:pPr>
          </w:p>
        </w:tc>
      </w:tr>
      <w:tr w14:paraId="04C9E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224EFE95">
            <w:pPr>
              <w:jc w:val="center"/>
              <w:rPr>
                <w:rFonts w:hint="eastAsia" w:ascii="宋体" w:hAnsi="宋体"/>
                <w:color w:val="000000"/>
                <w:sz w:val="24"/>
                <w:szCs w:val="24"/>
              </w:rPr>
            </w:pPr>
          </w:p>
        </w:tc>
        <w:tc>
          <w:tcPr>
            <w:tcW w:w="2925" w:type="dxa"/>
            <w:noWrap w:val="0"/>
            <w:vAlign w:val="top"/>
          </w:tcPr>
          <w:p w14:paraId="0B860DF7">
            <w:pPr>
              <w:jc w:val="center"/>
              <w:rPr>
                <w:rFonts w:hint="eastAsia" w:ascii="宋体" w:hAnsi="宋体"/>
                <w:color w:val="000000"/>
                <w:sz w:val="24"/>
                <w:szCs w:val="24"/>
              </w:rPr>
            </w:pPr>
          </w:p>
        </w:tc>
        <w:tc>
          <w:tcPr>
            <w:tcW w:w="2832" w:type="dxa"/>
            <w:noWrap w:val="0"/>
            <w:vAlign w:val="top"/>
          </w:tcPr>
          <w:p w14:paraId="56CF905D">
            <w:pPr>
              <w:jc w:val="center"/>
              <w:rPr>
                <w:rFonts w:hint="eastAsia" w:ascii="宋体" w:hAnsi="宋体"/>
                <w:color w:val="000000"/>
                <w:sz w:val="24"/>
                <w:szCs w:val="24"/>
              </w:rPr>
            </w:pPr>
          </w:p>
        </w:tc>
        <w:tc>
          <w:tcPr>
            <w:tcW w:w="3365" w:type="dxa"/>
            <w:noWrap w:val="0"/>
            <w:vAlign w:val="top"/>
          </w:tcPr>
          <w:p w14:paraId="5A3C80BA">
            <w:pPr>
              <w:jc w:val="center"/>
              <w:rPr>
                <w:rFonts w:hint="eastAsia" w:ascii="宋体" w:hAnsi="宋体"/>
                <w:color w:val="000000"/>
                <w:sz w:val="24"/>
                <w:szCs w:val="24"/>
              </w:rPr>
            </w:pPr>
          </w:p>
        </w:tc>
      </w:tr>
      <w:tr w14:paraId="32912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677EF83">
            <w:pPr>
              <w:jc w:val="center"/>
              <w:rPr>
                <w:rFonts w:hint="eastAsia" w:ascii="宋体" w:hAnsi="宋体"/>
                <w:color w:val="000000"/>
                <w:sz w:val="24"/>
                <w:szCs w:val="24"/>
              </w:rPr>
            </w:pPr>
          </w:p>
        </w:tc>
        <w:tc>
          <w:tcPr>
            <w:tcW w:w="2925" w:type="dxa"/>
            <w:noWrap w:val="0"/>
            <w:vAlign w:val="top"/>
          </w:tcPr>
          <w:p w14:paraId="44869F1C">
            <w:pPr>
              <w:jc w:val="center"/>
              <w:rPr>
                <w:rFonts w:hint="eastAsia" w:ascii="宋体" w:hAnsi="宋体"/>
                <w:color w:val="000000"/>
                <w:sz w:val="24"/>
                <w:szCs w:val="24"/>
              </w:rPr>
            </w:pPr>
          </w:p>
        </w:tc>
        <w:tc>
          <w:tcPr>
            <w:tcW w:w="2832" w:type="dxa"/>
            <w:noWrap w:val="0"/>
            <w:vAlign w:val="top"/>
          </w:tcPr>
          <w:p w14:paraId="3E908F79">
            <w:pPr>
              <w:jc w:val="center"/>
              <w:rPr>
                <w:rFonts w:hint="eastAsia" w:ascii="宋体" w:hAnsi="宋体"/>
                <w:color w:val="000000"/>
                <w:sz w:val="24"/>
                <w:szCs w:val="24"/>
              </w:rPr>
            </w:pPr>
          </w:p>
        </w:tc>
        <w:tc>
          <w:tcPr>
            <w:tcW w:w="3365" w:type="dxa"/>
            <w:noWrap w:val="0"/>
            <w:vAlign w:val="top"/>
          </w:tcPr>
          <w:p w14:paraId="601342E6">
            <w:pPr>
              <w:jc w:val="center"/>
              <w:rPr>
                <w:rFonts w:hint="eastAsia" w:ascii="宋体" w:hAnsi="宋体"/>
                <w:color w:val="000000"/>
                <w:sz w:val="24"/>
                <w:szCs w:val="24"/>
              </w:rPr>
            </w:pPr>
          </w:p>
        </w:tc>
      </w:tr>
      <w:tr w14:paraId="2AAB9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B796761">
            <w:pPr>
              <w:jc w:val="center"/>
              <w:rPr>
                <w:rFonts w:hint="eastAsia" w:ascii="宋体" w:hAnsi="宋体"/>
                <w:color w:val="000000"/>
                <w:sz w:val="24"/>
                <w:szCs w:val="24"/>
              </w:rPr>
            </w:pPr>
          </w:p>
        </w:tc>
        <w:tc>
          <w:tcPr>
            <w:tcW w:w="2925" w:type="dxa"/>
            <w:noWrap w:val="0"/>
            <w:vAlign w:val="top"/>
          </w:tcPr>
          <w:p w14:paraId="0A9C3B47">
            <w:pPr>
              <w:jc w:val="center"/>
              <w:rPr>
                <w:rFonts w:hint="eastAsia" w:ascii="宋体" w:hAnsi="宋体"/>
                <w:color w:val="000000"/>
                <w:sz w:val="24"/>
                <w:szCs w:val="24"/>
              </w:rPr>
            </w:pPr>
          </w:p>
        </w:tc>
        <w:tc>
          <w:tcPr>
            <w:tcW w:w="2832" w:type="dxa"/>
            <w:noWrap w:val="0"/>
            <w:vAlign w:val="top"/>
          </w:tcPr>
          <w:p w14:paraId="2D603B47">
            <w:pPr>
              <w:jc w:val="center"/>
              <w:rPr>
                <w:rFonts w:hint="eastAsia" w:ascii="宋体" w:hAnsi="宋体"/>
                <w:color w:val="000000"/>
                <w:sz w:val="24"/>
                <w:szCs w:val="24"/>
              </w:rPr>
            </w:pPr>
          </w:p>
        </w:tc>
        <w:tc>
          <w:tcPr>
            <w:tcW w:w="3365" w:type="dxa"/>
            <w:noWrap w:val="0"/>
            <w:vAlign w:val="top"/>
          </w:tcPr>
          <w:p w14:paraId="13B833DB">
            <w:pPr>
              <w:jc w:val="center"/>
              <w:rPr>
                <w:rFonts w:hint="eastAsia" w:ascii="宋体" w:hAnsi="宋体"/>
                <w:color w:val="000000"/>
                <w:sz w:val="24"/>
                <w:szCs w:val="24"/>
              </w:rPr>
            </w:pPr>
          </w:p>
        </w:tc>
      </w:tr>
      <w:tr w14:paraId="34B8B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214C902">
            <w:pPr>
              <w:jc w:val="center"/>
              <w:rPr>
                <w:rFonts w:hint="eastAsia" w:ascii="宋体" w:hAnsi="宋体"/>
                <w:color w:val="000000"/>
                <w:sz w:val="24"/>
                <w:szCs w:val="24"/>
              </w:rPr>
            </w:pPr>
          </w:p>
        </w:tc>
        <w:tc>
          <w:tcPr>
            <w:tcW w:w="2925" w:type="dxa"/>
            <w:noWrap w:val="0"/>
            <w:vAlign w:val="top"/>
          </w:tcPr>
          <w:p w14:paraId="78CE1CF3">
            <w:pPr>
              <w:jc w:val="center"/>
              <w:rPr>
                <w:rFonts w:hint="eastAsia" w:ascii="宋体" w:hAnsi="宋体"/>
                <w:color w:val="000000"/>
                <w:sz w:val="24"/>
                <w:szCs w:val="24"/>
              </w:rPr>
            </w:pPr>
          </w:p>
        </w:tc>
        <w:tc>
          <w:tcPr>
            <w:tcW w:w="2832" w:type="dxa"/>
            <w:noWrap w:val="0"/>
            <w:vAlign w:val="top"/>
          </w:tcPr>
          <w:p w14:paraId="009E8D13">
            <w:pPr>
              <w:jc w:val="center"/>
              <w:rPr>
                <w:rFonts w:hint="eastAsia" w:ascii="宋体" w:hAnsi="宋体"/>
                <w:color w:val="000000"/>
                <w:sz w:val="24"/>
                <w:szCs w:val="24"/>
              </w:rPr>
            </w:pPr>
          </w:p>
        </w:tc>
        <w:tc>
          <w:tcPr>
            <w:tcW w:w="3365" w:type="dxa"/>
            <w:noWrap w:val="0"/>
            <w:vAlign w:val="top"/>
          </w:tcPr>
          <w:p w14:paraId="4185AF51">
            <w:pPr>
              <w:jc w:val="center"/>
              <w:rPr>
                <w:rFonts w:hint="eastAsia" w:ascii="宋体" w:hAnsi="宋体"/>
                <w:color w:val="000000"/>
                <w:sz w:val="24"/>
                <w:szCs w:val="24"/>
              </w:rPr>
            </w:pPr>
          </w:p>
        </w:tc>
      </w:tr>
    </w:tbl>
    <w:p w14:paraId="3F7AD4FB">
      <w:pPr>
        <w:pStyle w:val="29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14:paraId="6008C53A">
      <w:pPr>
        <w:keepNext w:val="0"/>
        <w:keepLines w:val="0"/>
        <w:pageBreakBefore w:val="0"/>
        <w:spacing w:line="360" w:lineRule="auto"/>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供应商</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14:paraId="554FDE2C">
      <w:pPr>
        <w:rPr>
          <w:rFonts w:hint="eastAsia" w:ascii="宋体" w:hAnsi="宋体"/>
          <w:color w:val="000000"/>
          <w:sz w:val="24"/>
          <w:szCs w:val="24"/>
        </w:rPr>
      </w:pPr>
    </w:p>
    <w:p w14:paraId="50E2E7C7">
      <w:pPr>
        <w:pStyle w:val="295"/>
        <w:spacing w:before="0" w:beforeAutospacing="0" w:after="0" w:afterAutospacing="0" w:line="360" w:lineRule="auto"/>
        <w:ind w:firstLine="480"/>
        <w:jc w:val="both"/>
        <w:rPr>
          <w:rFonts w:ascii="宋体" w:hAnsi="宋体" w:eastAsia="宋体" w:cs="宋体"/>
          <w:color w:val="000000"/>
          <w:lang w:val="en-US" w:eastAsia="zh-CN"/>
        </w:rPr>
      </w:pPr>
      <w:r>
        <w:rPr>
          <w:rFonts w:ascii="宋体" w:hAnsi="宋体" w:eastAsia="宋体" w:cs="宋体"/>
          <w:color w:val="000000"/>
          <w:lang w:val="en-US" w:eastAsia="zh-CN"/>
        </w:rPr>
        <w:t xml:space="preserve">备注： </w:t>
      </w:r>
    </w:p>
    <w:p w14:paraId="7ADFF8DF">
      <w:pPr>
        <w:pStyle w:val="29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1.供应商须对磋商文件技术要求中的实质性要求（斜体下划线内容或打“★”内容）及其他要求做出明确响应，否则视为无效响应。</w:t>
      </w:r>
    </w:p>
    <w:p w14:paraId="22A4BCE1">
      <w:pPr>
        <w:pStyle w:val="29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p>
    <w:p w14:paraId="387BE1F8">
      <w:pPr>
        <w:pStyle w:val="29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3.行数不够，可自行添加。</w:t>
      </w:r>
    </w:p>
    <w:p w14:paraId="310C811A">
      <w:pPr>
        <w:jc w:val="center"/>
        <w:rPr>
          <w:rFonts w:hint="eastAsia" w:ascii="黑体" w:hAnsi="Arial" w:eastAsia="黑体"/>
          <w:b/>
          <w:color w:val="0000FF"/>
          <w:sz w:val="36"/>
          <w:szCs w:val="21"/>
        </w:rPr>
      </w:pPr>
    </w:p>
    <w:p w14:paraId="08CE032C">
      <w:pPr>
        <w:rPr>
          <w:rFonts w:hint="eastAsia" w:ascii="黑体" w:hAnsi="黑体" w:eastAsia="黑体" w:cs="Times New Roman"/>
          <w:i w:val="0"/>
          <w:iCs/>
          <w:color w:val="000000"/>
          <w:sz w:val="32"/>
          <w:szCs w:val="32"/>
          <w:u w:val="none"/>
          <w:lang w:val="en-US" w:eastAsia="zh-CN"/>
        </w:rPr>
      </w:pPr>
      <w:bookmarkStart w:id="195" w:name="_Hlt26955054"/>
      <w:bookmarkEnd w:id="195"/>
      <w:r>
        <w:rPr>
          <w:rFonts w:hint="eastAsia" w:ascii="黑体" w:hAnsi="黑体" w:eastAsia="黑体" w:cs="Times New Roman"/>
          <w:i w:val="0"/>
          <w:iCs/>
          <w:color w:val="000000"/>
          <w:sz w:val="32"/>
          <w:szCs w:val="32"/>
          <w:u w:val="none"/>
          <w:lang w:val="en-US" w:eastAsia="zh-CN"/>
        </w:rPr>
        <w:br w:type="page"/>
      </w:r>
    </w:p>
    <w:p w14:paraId="4DDD4EBA">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九、商务要求响应及偏离表</w:t>
      </w:r>
    </w:p>
    <w:p w14:paraId="23762145">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商务要求响应及偏离表</w:t>
      </w:r>
    </w:p>
    <w:tbl>
      <w:tblPr>
        <w:tblStyle w:val="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14:paraId="6D570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611898B4">
            <w:pPr>
              <w:jc w:val="center"/>
              <w:rPr>
                <w:rFonts w:hint="eastAsia" w:ascii="宋体" w:hAnsi="宋体"/>
                <w:color w:val="000000"/>
                <w:sz w:val="24"/>
                <w:szCs w:val="24"/>
              </w:rPr>
            </w:pPr>
            <w:bookmarkStart w:id="196" w:name="_Hlt26782999"/>
            <w:bookmarkEnd w:id="196"/>
            <w:bookmarkStart w:id="197" w:name="_Hlt26955064"/>
            <w:bookmarkEnd w:id="197"/>
            <w:bookmarkStart w:id="198" w:name="_Hlt26671343"/>
            <w:bookmarkEnd w:id="198"/>
            <w:bookmarkStart w:id="199" w:name="_Hlt26609391"/>
            <w:bookmarkEnd w:id="199"/>
            <w:bookmarkStart w:id="200" w:name="_Hlt24879081"/>
            <w:bookmarkEnd w:id="200"/>
            <w:bookmarkStart w:id="201" w:name="_Hlt26955056"/>
            <w:bookmarkEnd w:id="201"/>
            <w:bookmarkStart w:id="202" w:name="_Hlt26671372"/>
            <w:bookmarkEnd w:id="202"/>
            <w:bookmarkStart w:id="203" w:name="_Hlt26580838"/>
            <w:bookmarkEnd w:id="203"/>
            <w:r>
              <w:rPr>
                <w:rFonts w:hint="eastAsia" w:ascii="宋体" w:hAnsi="宋体"/>
                <w:color w:val="000000"/>
                <w:sz w:val="24"/>
                <w:szCs w:val="24"/>
              </w:rPr>
              <w:t>序号</w:t>
            </w:r>
          </w:p>
        </w:tc>
        <w:tc>
          <w:tcPr>
            <w:tcW w:w="2838" w:type="dxa"/>
            <w:noWrap w:val="0"/>
            <w:vAlign w:val="center"/>
          </w:tcPr>
          <w:p w14:paraId="714E47A4">
            <w:pPr>
              <w:jc w:val="center"/>
              <w:rPr>
                <w:rFonts w:hint="eastAsia" w:ascii="宋体" w:hAnsi="宋体"/>
                <w:color w:val="000000"/>
                <w:sz w:val="24"/>
                <w:szCs w:val="24"/>
              </w:rPr>
            </w:pPr>
            <w:r>
              <w:rPr>
                <w:rFonts w:hint="eastAsia" w:ascii="宋体" w:hAnsi="宋体"/>
                <w:color w:val="000000"/>
                <w:sz w:val="24"/>
                <w:szCs w:val="24"/>
                <w:lang w:eastAsia="zh-CN"/>
              </w:rPr>
              <w:t>磋商</w:t>
            </w:r>
            <w:r>
              <w:rPr>
                <w:rFonts w:hint="eastAsia" w:ascii="宋体" w:hAnsi="宋体"/>
                <w:color w:val="000000"/>
                <w:sz w:val="24"/>
                <w:szCs w:val="24"/>
              </w:rPr>
              <w:t>文件要求</w:t>
            </w:r>
          </w:p>
        </w:tc>
        <w:tc>
          <w:tcPr>
            <w:tcW w:w="2832" w:type="dxa"/>
            <w:noWrap w:val="0"/>
            <w:vAlign w:val="center"/>
          </w:tcPr>
          <w:p w14:paraId="4334C2CF">
            <w:pPr>
              <w:jc w:val="center"/>
              <w:rPr>
                <w:rFonts w:hint="eastAsia" w:ascii="宋体" w:hAnsi="宋体"/>
                <w:color w:val="000000"/>
                <w:sz w:val="24"/>
                <w:szCs w:val="24"/>
              </w:rPr>
            </w:pPr>
            <w:r>
              <w:rPr>
                <w:rFonts w:hint="eastAsia" w:ascii="宋体" w:hAnsi="宋体"/>
                <w:color w:val="000000"/>
                <w:sz w:val="24"/>
                <w:szCs w:val="24"/>
              </w:rPr>
              <w:t>响应情况</w:t>
            </w:r>
          </w:p>
        </w:tc>
        <w:tc>
          <w:tcPr>
            <w:tcW w:w="3345" w:type="dxa"/>
            <w:noWrap w:val="0"/>
            <w:vAlign w:val="center"/>
          </w:tcPr>
          <w:p w14:paraId="603FFD34">
            <w:pPr>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6A602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3B8146F6">
            <w:pPr>
              <w:jc w:val="center"/>
              <w:rPr>
                <w:rFonts w:hint="eastAsia" w:ascii="宋体" w:hAnsi="宋体"/>
                <w:color w:val="000000"/>
                <w:sz w:val="24"/>
                <w:szCs w:val="24"/>
              </w:rPr>
            </w:pPr>
          </w:p>
        </w:tc>
        <w:tc>
          <w:tcPr>
            <w:tcW w:w="2838" w:type="dxa"/>
            <w:noWrap w:val="0"/>
            <w:vAlign w:val="top"/>
          </w:tcPr>
          <w:p w14:paraId="2B3347D9">
            <w:pPr>
              <w:jc w:val="center"/>
              <w:rPr>
                <w:rFonts w:hint="eastAsia" w:ascii="宋体" w:hAnsi="宋体"/>
                <w:color w:val="000000"/>
                <w:sz w:val="24"/>
                <w:szCs w:val="24"/>
              </w:rPr>
            </w:pPr>
          </w:p>
        </w:tc>
        <w:tc>
          <w:tcPr>
            <w:tcW w:w="2832" w:type="dxa"/>
            <w:noWrap w:val="0"/>
            <w:vAlign w:val="top"/>
          </w:tcPr>
          <w:p w14:paraId="071BEE75">
            <w:pPr>
              <w:jc w:val="center"/>
              <w:rPr>
                <w:rFonts w:hint="eastAsia" w:ascii="宋体" w:hAnsi="宋体"/>
                <w:color w:val="000000"/>
                <w:sz w:val="24"/>
                <w:szCs w:val="24"/>
              </w:rPr>
            </w:pPr>
          </w:p>
        </w:tc>
        <w:tc>
          <w:tcPr>
            <w:tcW w:w="3345" w:type="dxa"/>
            <w:noWrap w:val="0"/>
            <w:vAlign w:val="top"/>
          </w:tcPr>
          <w:p w14:paraId="3AB2AD85">
            <w:pPr>
              <w:jc w:val="center"/>
              <w:rPr>
                <w:rFonts w:hint="eastAsia" w:ascii="宋体" w:hAnsi="宋体"/>
                <w:color w:val="000000"/>
                <w:sz w:val="24"/>
                <w:szCs w:val="24"/>
              </w:rPr>
            </w:pPr>
          </w:p>
        </w:tc>
      </w:tr>
      <w:tr w14:paraId="30C7B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2CA37F08">
            <w:pPr>
              <w:jc w:val="center"/>
              <w:rPr>
                <w:rFonts w:hint="eastAsia" w:ascii="宋体" w:hAnsi="宋体"/>
                <w:color w:val="000000"/>
                <w:sz w:val="24"/>
                <w:szCs w:val="24"/>
              </w:rPr>
            </w:pPr>
          </w:p>
        </w:tc>
        <w:tc>
          <w:tcPr>
            <w:tcW w:w="2838" w:type="dxa"/>
            <w:noWrap w:val="0"/>
            <w:vAlign w:val="top"/>
          </w:tcPr>
          <w:p w14:paraId="5271ACFB">
            <w:pPr>
              <w:jc w:val="center"/>
              <w:rPr>
                <w:rFonts w:hint="eastAsia" w:ascii="宋体" w:hAnsi="宋体"/>
                <w:color w:val="000000"/>
                <w:sz w:val="24"/>
                <w:szCs w:val="24"/>
              </w:rPr>
            </w:pPr>
          </w:p>
        </w:tc>
        <w:tc>
          <w:tcPr>
            <w:tcW w:w="2832" w:type="dxa"/>
            <w:noWrap w:val="0"/>
            <w:vAlign w:val="top"/>
          </w:tcPr>
          <w:p w14:paraId="19B8F3F0">
            <w:pPr>
              <w:jc w:val="center"/>
              <w:rPr>
                <w:rFonts w:hint="eastAsia" w:ascii="宋体" w:hAnsi="宋体"/>
                <w:color w:val="000000"/>
                <w:sz w:val="24"/>
                <w:szCs w:val="24"/>
              </w:rPr>
            </w:pPr>
          </w:p>
        </w:tc>
        <w:tc>
          <w:tcPr>
            <w:tcW w:w="3345" w:type="dxa"/>
            <w:noWrap w:val="0"/>
            <w:vAlign w:val="top"/>
          </w:tcPr>
          <w:p w14:paraId="02041645">
            <w:pPr>
              <w:jc w:val="center"/>
              <w:rPr>
                <w:rFonts w:hint="eastAsia" w:ascii="宋体" w:hAnsi="宋体"/>
                <w:color w:val="000000"/>
                <w:sz w:val="24"/>
                <w:szCs w:val="24"/>
              </w:rPr>
            </w:pPr>
          </w:p>
        </w:tc>
      </w:tr>
      <w:tr w14:paraId="40999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6D54801">
            <w:pPr>
              <w:jc w:val="center"/>
              <w:rPr>
                <w:rFonts w:hint="eastAsia" w:ascii="宋体" w:hAnsi="宋体"/>
                <w:color w:val="000000"/>
                <w:sz w:val="24"/>
                <w:szCs w:val="24"/>
              </w:rPr>
            </w:pPr>
          </w:p>
        </w:tc>
        <w:tc>
          <w:tcPr>
            <w:tcW w:w="2838" w:type="dxa"/>
            <w:noWrap w:val="0"/>
            <w:vAlign w:val="top"/>
          </w:tcPr>
          <w:p w14:paraId="19CE9A66">
            <w:pPr>
              <w:jc w:val="center"/>
              <w:rPr>
                <w:rFonts w:hint="eastAsia" w:ascii="宋体" w:hAnsi="宋体"/>
                <w:color w:val="000000"/>
                <w:sz w:val="24"/>
                <w:szCs w:val="24"/>
              </w:rPr>
            </w:pPr>
          </w:p>
        </w:tc>
        <w:tc>
          <w:tcPr>
            <w:tcW w:w="2832" w:type="dxa"/>
            <w:noWrap w:val="0"/>
            <w:vAlign w:val="top"/>
          </w:tcPr>
          <w:p w14:paraId="30D5366F">
            <w:pPr>
              <w:jc w:val="center"/>
              <w:rPr>
                <w:rFonts w:hint="eastAsia" w:ascii="宋体" w:hAnsi="宋体"/>
                <w:color w:val="000000"/>
                <w:sz w:val="24"/>
                <w:szCs w:val="24"/>
              </w:rPr>
            </w:pPr>
          </w:p>
        </w:tc>
        <w:tc>
          <w:tcPr>
            <w:tcW w:w="3345" w:type="dxa"/>
            <w:noWrap w:val="0"/>
            <w:vAlign w:val="top"/>
          </w:tcPr>
          <w:p w14:paraId="538DB3E5">
            <w:pPr>
              <w:jc w:val="center"/>
              <w:rPr>
                <w:rFonts w:hint="eastAsia" w:ascii="宋体" w:hAnsi="宋体"/>
                <w:color w:val="000000"/>
                <w:sz w:val="24"/>
                <w:szCs w:val="24"/>
              </w:rPr>
            </w:pPr>
          </w:p>
        </w:tc>
      </w:tr>
      <w:tr w14:paraId="0F04C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3A012CD">
            <w:pPr>
              <w:jc w:val="center"/>
              <w:rPr>
                <w:rFonts w:hint="eastAsia" w:ascii="宋体" w:hAnsi="宋体"/>
                <w:color w:val="000000"/>
                <w:sz w:val="24"/>
                <w:szCs w:val="24"/>
              </w:rPr>
            </w:pPr>
          </w:p>
        </w:tc>
        <w:tc>
          <w:tcPr>
            <w:tcW w:w="2838" w:type="dxa"/>
            <w:noWrap w:val="0"/>
            <w:vAlign w:val="top"/>
          </w:tcPr>
          <w:p w14:paraId="07E1714B">
            <w:pPr>
              <w:jc w:val="center"/>
              <w:rPr>
                <w:rFonts w:hint="eastAsia" w:ascii="宋体" w:hAnsi="宋体"/>
                <w:color w:val="000000"/>
                <w:sz w:val="24"/>
                <w:szCs w:val="24"/>
              </w:rPr>
            </w:pPr>
          </w:p>
        </w:tc>
        <w:tc>
          <w:tcPr>
            <w:tcW w:w="2832" w:type="dxa"/>
            <w:noWrap w:val="0"/>
            <w:vAlign w:val="top"/>
          </w:tcPr>
          <w:p w14:paraId="14583FA3">
            <w:pPr>
              <w:jc w:val="center"/>
              <w:rPr>
                <w:rFonts w:hint="eastAsia" w:ascii="宋体" w:hAnsi="宋体"/>
                <w:color w:val="000000"/>
                <w:sz w:val="24"/>
                <w:szCs w:val="24"/>
              </w:rPr>
            </w:pPr>
          </w:p>
        </w:tc>
        <w:tc>
          <w:tcPr>
            <w:tcW w:w="3345" w:type="dxa"/>
            <w:noWrap w:val="0"/>
            <w:vAlign w:val="top"/>
          </w:tcPr>
          <w:p w14:paraId="26A0AFD6">
            <w:pPr>
              <w:jc w:val="center"/>
              <w:rPr>
                <w:rFonts w:hint="eastAsia" w:ascii="宋体" w:hAnsi="宋体"/>
                <w:color w:val="000000"/>
                <w:sz w:val="24"/>
                <w:szCs w:val="24"/>
              </w:rPr>
            </w:pPr>
          </w:p>
        </w:tc>
      </w:tr>
      <w:tr w14:paraId="7FA85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8B3C4AD">
            <w:pPr>
              <w:jc w:val="center"/>
              <w:rPr>
                <w:rFonts w:hint="eastAsia" w:ascii="宋体" w:hAnsi="宋体"/>
                <w:color w:val="000000"/>
                <w:sz w:val="24"/>
                <w:szCs w:val="24"/>
              </w:rPr>
            </w:pPr>
          </w:p>
        </w:tc>
        <w:tc>
          <w:tcPr>
            <w:tcW w:w="2838" w:type="dxa"/>
            <w:noWrap w:val="0"/>
            <w:vAlign w:val="top"/>
          </w:tcPr>
          <w:p w14:paraId="5696CECE">
            <w:pPr>
              <w:jc w:val="center"/>
              <w:rPr>
                <w:rFonts w:hint="eastAsia" w:ascii="宋体" w:hAnsi="宋体"/>
                <w:color w:val="000000"/>
                <w:sz w:val="24"/>
                <w:szCs w:val="24"/>
              </w:rPr>
            </w:pPr>
          </w:p>
        </w:tc>
        <w:tc>
          <w:tcPr>
            <w:tcW w:w="2832" w:type="dxa"/>
            <w:noWrap w:val="0"/>
            <w:vAlign w:val="top"/>
          </w:tcPr>
          <w:p w14:paraId="2D43DF32">
            <w:pPr>
              <w:jc w:val="center"/>
              <w:rPr>
                <w:rFonts w:hint="eastAsia" w:ascii="宋体" w:hAnsi="宋体"/>
                <w:color w:val="000000"/>
                <w:sz w:val="24"/>
                <w:szCs w:val="24"/>
              </w:rPr>
            </w:pPr>
          </w:p>
        </w:tc>
        <w:tc>
          <w:tcPr>
            <w:tcW w:w="3345" w:type="dxa"/>
            <w:noWrap w:val="0"/>
            <w:vAlign w:val="top"/>
          </w:tcPr>
          <w:p w14:paraId="1EFB9A02">
            <w:pPr>
              <w:jc w:val="center"/>
              <w:rPr>
                <w:rFonts w:hint="eastAsia" w:ascii="宋体" w:hAnsi="宋体"/>
                <w:color w:val="000000"/>
                <w:sz w:val="24"/>
                <w:szCs w:val="24"/>
              </w:rPr>
            </w:pPr>
          </w:p>
        </w:tc>
      </w:tr>
      <w:tr w14:paraId="3C644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3054D3D">
            <w:pPr>
              <w:jc w:val="center"/>
              <w:rPr>
                <w:rFonts w:hint="eastAsia" w:ascii="宋体" w:hAnsi="宋体"/>
                <w:color w:val="000000"/>
                <w:sz w:val="24"/>
                <w:szCs w:val="24"/>
              </w:rPr>
            </w:pPr>
          </w:p>
        </w:tc>
        <w:tc>
          <w:tcPr>
            <w:tcW w:w="2838" w:type="dxa"/>
            <w:noWrap w:val="0"/>
            <w:vAlign w:val="top"/>
          </w:tcPr>
          <w:p w14:paraId="68337353">
            <w:pPr>
              <w:jc w:val="center"/>
              <w:rPr>
                <w:rFonts w:hint="eastAsia" w:ascii="宋体" w:hAnsi="宋体"/>
                <w:color w:val="000000"/>
                <w:sz w:val="24"/>
                <w:szCs w:val="24"/>
              </w:rPr>
            </w:pPr>
          </w:p>
        </w:tc>
        <w:tc>
          <w:tcPr>
            <w:tcW w:w="2832" w:type="dxa"/>
            <w:noWrap w:val="0"/>
            <w:vAlign w:val="top"/>
          </w:tcPr>
          <w:p w14:paraId="549F862C">
            <w:pPr>
              <w:jc w:val="center"/>
              <w:rPr>
                <w:rFonts w:hint="eastAsia" w:ascii="宋体" w:hAnsi="宋体"/>
                <w:color w:val="000000"/>
                <w:sz w:val="24"/>
                <w:szCs w:val="24"/>
              </w:rPr>
            </w:pPr>
          </w:p>
        </w:tc>
        <w:tc>
          <w:tcPr>
            <w:tcW w:w="3345" w:type="dxa"/>
            <w:noWrap w:val="0"/>
            <w:vAlign w:val="top"/>
          </w:tcPr>
          <w:p w14:paraId="75944EEB">
            <w:pPr>
              <w:jc w:val="center"/>
              <w:rPr>
                <w:rFonts w:hint="eastAsia" w:ascii="宋体" w:hAnsi="宋体"/>
                <w:color w:val="000000"/>
                <w:sz w:val="24"/>
                <w:szCs w:val="24"/>
              </w:rPr>
            </w:pPr>
          </w:p>
        </w:tc>
      </w:tr>
      <w:tr w14:paraId="0EA7E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040F41B">
            <w:pPr>
              <w:jc w:val="center"/>
              <w:rPr>
                <w:rFonts w:hint="eastAsia" w:ascii="宋体" w:hAnsi="宋体"/>
                <w:color w:val="000000"/>
                <w:sz w:val="24"/>
                <w:szCs w:val="24"/>
              </w:rPr>
            </w:pPr>
          </w:p>
        </w:tc>
        <w:tc>
          <w:tcPr>
            <w:tcW w:w="2838" w:type="dxa"/>
            <w:noWrap w:val="0"/>
            <w:vAlign w:val="top"/>
          </w:tcPr>
          <w:p w14:paraId="0A3D3C06">
            <w:pPr>
              <w:jc w:val="center"/>
              <w:rPr>
                <w:rFonts w:hint="eastAsia" w:ascii="宋体" w:hAnsi="宋体"/>
                <w:color w:val="000000"/>
                <w:sz w:val="24"/>
                <w:szCs w:val="24"/>
              </w:rPr>
            </w:pPr>
          </w:p>
        </w:tc>
        <w:tc>
          <w:tcPr>
            <w:tcW w:w="2832" w:type="dxa"/>
            <w:noWrap w:val="0"/>
            <w:vAlign w:val="top"/>
          </w:tcPr>
          <w:p w14:paraId="63A502BA">
            <w:pPr>
              <w:jc w:val="center"/>
              <w:rPr>
                <w:rFonts w:hint="eastAsia" w:ascii="宋体" w:hAnsi="宋体"/>
                <w:color w:val="000000"/>
                <w:sz w:val="24"/>
                <w:szCs w:val="24"/>
              </w:rPr>
            </w:pPr>
          </w:p>
        </w:tc>
        <w:tc>
          <w:tcPr>
            <w:tcW w:w="3345" w:type="dxa"/>
            <w:noWrap w:val="0"/>
            <w:vAlign w:val="top"/>
          </w:tcPr>
          <w:p w14:paraId="789082E3">
            <w:pPr>
              <w:jc w:val="center"/>
              <w:rPr>
                <w:rFonts w:hint="eastAsia" w:ascii="宋体" w:hAnsi="宋体"/>
                <w:color w:val="000000"/>
                <w:sz w:val="24"/>
                <w:szCs w:val="24"/>
              </w:rPr>
            </w:pPr>
          </w:p>
        </w:tc>
      </w:tr>
      <w:tr w14:paraId="4E33C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E59E612">
            <w:pPr>
              <w:jc w:val="center"/>
              <w:rPr>
                <w:rFonts w:hint="eastAsia" w:ascii="宋体" w:hAnsi="宋体"/>
                <w:color w:val="000000"/>
                <w:sz w:val="24"/>
                <w:szCs w:val="24"/>
              </w:rPr>
            </w:pPr>
          </w:p>
        </w:tc>
        <w:tc>
          <w:tcPr>
            <w:tcW w:w="2838" w:type="dxa"/>
            <w:noWrap w:val="0"/>
            <w:vAlign w:val="top"/>
          </w:tcPr>
          <w:p w14:paraId="732F4523">
            <w:pPr>
              <w:jc w:val="center"/>
              <w:rPr>
                <w:rFonts w:hint="eastAsia" w:ascii="宋体" w:hAnsi="宋体"/>
                <w:color w:val="000000"/>
                <w:sz w:val="24"/>
                <w:szCs w:val="24"/>
              </w:rPr>
            </w:pPr>
          </w:p>
        </w:tc>
        <w:tc>
          <w:tcPr>
            <w:tcW w:w="2832" w:type="dxa"/>
            <w:noWrap w:val="0"/>
            <w:vAlign w:val="top"/>
          </w:tcPr>
          <w:p w14:paraId="5C920F49">
            <w:pPr>
              <w:jc w:val="center"/>
              <w:rPr>
                <w:rFonts w:hint="eastAsia" w:ascii="宋体" w:hAnsi="宋体"/>
                <w:color w:val="000000"/>
                <w:sz w:val="24"/>
                <w:szCs w:val="24"/>
              </w:rPr>
            </w:pPr>
          </w:p>
        </w:tc>
        <w:tc>
          <w:tcPr>
            <w:tcW w:w="3345" w:type="dxa"/>
            <w:noWrap w:val="0"/>
            <w:vAlign w:val="top"/>
          </w:tcPr>
          <w:p w14:paraId="6EC0DBF6">
            <w:pPr>
              <w:jc w:val="center"/>
              <w:rPr>
                <w:rFonts w:hint="eastAsia" w:ascii="宋体" w:hAnsi="宋体"/>
                <w:color w:val="000000"/>
                <w:sz w:val="24"/>
                <w:szCs w:val="24"/>
              </w:rPr>
            </w:pPr>
          </w:p>
        </w:tc>
      </w:tr>
    </w:tbl>
    <w:p w14:paraId="5B556CE9">
      <w:pPr>
        <w:pStyle w:val="29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14:paraId="794B86AB">
      <w:pPr>
        <w:keepNext w:val="0"/>
        <w:keepLines w:val="0"/>
        <w:pageBreakBefore w:val="0"/>
        <w:spacing w:line="360" w:lineRule="auto"/>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供应商</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14:paraId="11925A62">
      <w:pPr>
        <w:rPr>
          <w:rFonts w:hint="eastAsia" w:ascii="宋体" w:hAnsi="宋体"/>
          <w:color w:val="000000"/>
          <w:sz w:val="24"/>
          <w:szCs w:val="24"/>
        </w:rPr>
      </w:pPr>
    </w:p>
    <w:p w14:paraId="61ED27A2">
      <w:pPr>
        <w:pStyle w:val="29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p>
    <w:p w14:paraId="767728FF">
      <w:pPr>
        <w:pStyle w:val="295"/>
        <w:spacing w:before="0" w:beforeAutospacing="0" w:after="0" w:afterAutospacing="0" w:line="360" w:lineRule="auto"/>
        <w:ind w:firstLine="480"/>
        <w:jc w:val="both"/>
        <w:rPr>
          <w:rFonts w:ascii="宋体" w:hAnsi="宋体" w:eastAsia="宋体" w:cs="宋体"/>
          <w:color w:val="000000"/>
          <w:lang w:val="en-US" w:eastAsia="zh-CN"/>
        </w:rPr>
      </w:pPr>
      <w:r>
        <w:rPr>
          <w:rFonts w:hint="eastAsia" w:ascii="宋体" w:hAnsi="宋体" w:eastAsia="宋体" w:cs="宋体"/>
          <w:color w:val="000000"/>
          <w:lang w:val="en-US" w:eastAsia="zh-CN"/>
        </w:rPr>
        <w:t>1.供应商须对磋商文件商务要求中的实质性要求（斜体下划线内容或打“★”内容）做出明确响应，否则视为无效响应。</w:t>
      </w:r>
    </w:p>
    <w:p w14:paraId="1BB7FC91">
      <w:pPr>
        <w:pStyle w:val="29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2.行数不够，可自行添加。</w:t>
      </w:r>
    </w:p>
    <w:p w14:paraId="086AD648"/>
    <w:p w14:paraId="31B912D7">
      <w:pPr>
        <w:pStyle w:val="301"/>
      </w:pPr>
    </w:p>
    <w:p w14:paraId="5C605650"/>
    <w:p w14:paraId="0B161122">
      <w:pPr>
        <w:pStyle w:val="301"/>
      </w:pPr>
    </w:p>
    <w:p w14:paraId="012F92B1">
      <w:pPr>
        <w:jc w:val="center"/>
        <w:rPr>
          <w:rFonts w:hint="eastAsia" w:ascii="宋体" w:hAnsi="宋体" w:cs="仿宋"/>
          <w:b/>
          <w:bCs/>
          <w:sz w:val="32"/>
          <w:szCs w:val="32"/>
        </w:rPr>
      </w:pPr>
    </w:p>
    <w:p w14:paraId="5CF3C5A6">
      <w:pPr>
        <w:pStyle w:val="245"/>
        <w:rPr>
          <w:rFonts w:hint="eastAsia" w:ascii="宋体" w:hAnsi="宋体" w:cs="仿宋"/>
          <w:b/>
          <w:bCs/>
          <w:sz w:val="32"/>
          <w:szCs w:val="32"/>
        </w:rPr>
      </w:pPr>
    </w:p>
    <w:p w14:paraId="63DE1BA8">
      <w:pPr>
        <w:rPr>
          <w:rFonts w:hint="eastAsia" w:ascii="宋体" w:hAnsi="宋体" w:cs="仿宋"/>
          <w:b/>
          <w:bCs/>
          <w:sz w:val="32"/>
          <w:szCs w:val="32"/>
        </w:rPr>
      </w:pPr>
    </w:p>
    <w:p w14:paraId="45CEA6D4">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br w:type="page"/>
      </w:r>
    </w:p>
    <w:p w14:paraId="2F2E8806">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十、中小企业声明函</w:t>
      </w:r>
    </w:p>
    <w:p w14:paraId="3B9D595F">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中小企业声明函（服务）</w:t>
      </w:r>
    </w:p>
    <w:p w14:paraId="7B0F1C84">
      <w:pPr>
        <w:keepNext w:val="0"/>
        <w:keepLines w:val="0"/>
        <w:pageBreakBefore w:val="0"/>
        <w:widowControl w:val="0"/>
        <w:spacing w:line="360" w:lineRule="auto"/>
        <w:ind w:firstLine="480"/>
        <w:rPr>
          <w:rFonts w:hint="eastAsia" w:ascii="宋体" w:hAnsi="宋体"/>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采购包</w:t>
      </w:r>
      <w:r>
        <w:rPr>
          <w:rFonts w:hint="eastAsia" w:ascii="宋体" w:hAnsi="宋体" w:eastAsia="宋体" w:cs="Times New Roman"/>
          <w:sz w:val="24"/>
          <w:szCs w:val="24"/>
          <w:u w:val="none"/>
        </w:rPr>
        <w:t>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szCs w:val="24"/>
        </w:rPr>
        <w:t>服务全部由符合政策的</w:t>
      </w:r>
      <w:r>
        <w:rPr>
          <w:rFonts w:hint="eastAsia" w:ascii="宋体" w:hAnsi="宋体"/>
          <w:sz w:val="24"/>
          <w:szCs w:val="24"/>
          <w:lang w:val="en-US" w:eastAsia="zh-CN"/>
        </w:rPr>
        <w:t>中</w:t>
      </w:r>
      <w:r>
        <w:rPr>
          <w:rFonts w:hint="eastAsia" w:ascii="宋体" w:hAnsi="宋体"/>
          <w:sz w:val="24"/>
          <w:szCs w:val="24"/>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w:t>
      </w:r>
      <w:r>
        <w:rPr>
          <w:rFonts w:hint="eastAsia" w:ascii="宋体" w:hAnsi="宋体"/>
          <w:sz w:val="24"/>
          <w:szCs w:val="24"/>
          <w:lang w:val="en-US" w:eastAsia="zh-CN"/>
        </w:rPr>
        <w:t>中</w:t>
      </w:r>
      <w:r>
        <w:rPr>
          <w:rFonts w:hint="eastAsia" w:ascii="宋体" w:hAnsi="宋体"/>
          <w:sz w:val="24"/>
          <w:szCs w:val="24"/>
        </w:rPr>
        <w:t>小企业）的具体情况如下：</w:t>
      </w:r>
    </w:p>
    <w:p w14:paraId="396EBDBD">
      <w:pPr>
        <w:keepNext w:val="0"/>
        <w:keepLines w:val="0"/>
        <w:pageBreakBefore w:val="0"/>
        <w:widowControl w:val="0"/>
        <w:spacing w:line="360" w:lineRule="auto"/>
        <w:ind w:firstLine="480"/>
        <w:rPr>
          <w:rFonts w:hint="eastAsia" w:ascii="宋体" w:hAnsi="宋体" w:eastAsia="宋体"/>
          <w:i/>
          <w:sz w:val="24"/>
          <w:szCs w:val="24"/>
          <w:u w:val="single"/>
          <w:lang w:eastAsia="zh-CN"/>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（磋商文件中明确的所属行业）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1DD25822">
      <w:pPr>
        <w:keepNext w:val="0"/>
        <w:keepLines w:val="0"/>
        <w:pageBreakBefore w:val="0"/>
        <w:widowControl w:val="0"/>
        <w:spacing w:line="360" w:lineRule="auto"/>
        <w:ind w:firstLine="480"/>
        <w:rPr>
          <w:rFonts w:hint="eastAsia" w:ascii="宋体" w:hAnsi="宋体" w:eastAsia="宋体"/>
          <w:i/>
          <w:sz w:val="24"/>
          <w:szCs w:val="24"/>
          <w:u w:val="none"/>
          <w:lang w:eastAsia="zh-CN"/>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（磋商文件中明确的所属行业）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770215B5">
      <w:pPr>
        <w:keepNext w:val="0"/>
        <w:keepLines w:val="0"/>
        <w:pageBreakBefore w:val="0"/>
        <w:widowControl w:val="0"/>
        <w:spacing w:line="360" w:lineRule="auto"/>
        <w:ind w:firstLine="360"/>
        <w:rPr>
          <w:rFonts w:hint="eastAsia" w:ascii="宋体" w:hAnsi="宋体"/>
          <w:sz w:val="24"/>
          <w:szCs w:val="24"/>
        </w:rPr>
      </w:pPr>
      <w:r>
        <w:rPr>
          <w:rFonts w:hint="eastAsia" w:ascii="宋体" w:hAnsi="宋体"/>
          <w:sz w:val="24"/>
          <w:szCs w:val="24"/>
        </w:rPr>
        <w:t>……</w:t>
      </w:r>
    </w:p>
    <w:p w14:paraId="2052EB5F">
      <w:pPr>
        <w:keepNext w:val="0"/>
        <w:keepLines w:val="0"/>
        <w:pageBreakBefore w:val="0"/>
        <w:widowControl w:val="0"/>
        <w:spacing w:line="360" w:lineRule="auto"/>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44377E4">
      <w:pPr>
        <w:keepNext w:val="0"/>
        <w:keepLines w:val="0"/>
        <w:pageBreakBefore w:val="0"/>
        <w:widowControl w:val="0"/>
        <w:spacing w:line="360" w:lineRule="auto"/>
        <w:ind w:firstLine="480"/>
        <w:rPr>
          <w:rFonts w:hint="eastAsia" w:ascii="宋体" w:hAnsi="宋体"/>
          <w:sz w:val="24"/>
          <w:szCs w:val="24"/>
          <w:lang w:eastAsia="zh-CN"/>
        </w:rPr>
      </w:pPr>
      <w:r>
        <w:rPr>
          <w:rFonts w:hint="eastAsia" w:ascii="宋体" w:hAnsi="宋体"/>
          <w:sz w:val="24"/>
          <w:szCs w:val="24"/>
        </w:rPr>
        <w:t>本企业对上述声明内容的真实性负责</w:t>
      </w:r>
      <w:r>
        <w:rPr>
          <w:rFonts w:hint="eastAsia" w:ascii="宋体" w:hAnsi="宋体"/>
          <w:sz w:val="24"/>
          <w:szCs w:val="24"/>
          <w:lang w:eastAsia="zh-CN"/>
        </w:rPr>
        <w:t>，</w:t>
      </w:r>
      <w:r>
        <w:rPr>
          <w:rFonts w:hint="eastAsia" w:ascii="宋体" w:hAnsi="宋体"/>
          <w:sz w:val="24"/>
          <w:szCs w:val="24"/>
        </w:rPr>
        <w:t>如有虚假，将依法承担相应责任</w:t>
      </w:r>
      <w:r>
        <w:rPr>
          <w:rFonts w:hint="eastAsia" w:ascii="宋体" w:hAnsi="宋体"/>
          <w:sz w:val="24"/>
          <w:szCs w:val="24"/>
          <w:lang w:eastAsia="zh-CN"/>
        </w:rPr>
        <w:t>。</w:t>
      </w:r>
    </w:p>
    <w:p w14:paraId="15108923">
      <w:pPr>
        <w:pStyle w:val="245"/>
        <w:keepNext w:val="0"/>
        <w:keepLines w:val="0"/>
        <w:pageBreakBefore w:val="0"/>
        <w:spacing w:line="360" w:lineRule="auto"/>
        <w:rPr>
          <w:rFonts w:hint="eastAsia" w:ascii="宋体" w:hAnsi="宋体"/>
          <w:sz w:val="24"/>
          <w:szCs w:val="24"/>
          <w:lang w:eastAsia="zh-CN"/>
        </w:rPr>
      </w:pPr>
    </w:p>
    <w:p w14:paraId="18B3D313">
      <w:pPr>
        <w:keepNext w:val="0"/>
        <w:keepLines w:val="0"/>
        <w:pageBreakBefore w:val="0"/>
        <w:spacing w:line="360" w:lineRule="auto"/>
        <w:rPr>
          <w:rFonts w:hint="eastAsia"/>
          <w:lang w:eastAsia="zh-CN"/>
        </w:rPr>
      </w:pPr>
    </w:p>
    <w:p w14:paraId="60139206">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2C5F9833">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274C20C6">
      <w:pPr>
        <w:keepNext w:val="0"/>
        <w:keepLines w:val="0"/>
        <w:pageBreakBefore w:val="0"/>
        <w:widowControl/>
        <w:spacing w:line="360" w:lineRule="auto"/>
        <w:ind w:firstLine="480"/>
        <w:rPr>
          <w:rFonts w:hint="eastAsia" w:ascii="宋体" w:hAnsi="宋体" w:eastAsia="宋体" w:cs="Times New Roman"/>
          <w:sz w:val="24"/>
          <w:szCs w:val="24"/>
          <w:lang w:eastAsia="zh-CN"/>
        </w:rPr>
      </w:pPr>
    </w:p>
    <w:p w14:paraId="0E1EF3AB">
      <w:pPr>
        <w:keepNext w:val="0"/>
        <w:keepLines w:val="0"/>
        <w:pageBreakBefore w:val="0"/>
        <w:widowControl w:val="0"/>
        <w:spacing w:line="360"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rPr>
        <w:t>备注</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从业人员、营业收入、资产总额填报上一年度数据，无上一年度数据的新成立企业可不填报。</w:t>
      </w: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r>
        <w:rPr>
          <w:rFonts w:hint="eastAsia" w:ascii="宋体" w:hAnsi="宋体" w:eastAsia="宋体" w:cs="Times New Roman"/>
          <w:sz w:val="24"/>
          <w:szCs w:val="24"/>
          <w:lang w:val="en-US" w:eastAsia="zh-CN"/>
        </w:rPr>
        <w:t>3.供应商</w:t>
      </w:r>
      <w:r>
        <w:rPr>
          <w:rFonts w:hint="eastAsia" w:ascii="宋体" w:hAnsi="宋体" w:eastAsia="宋体" w:cs="Times New Roman"/>
          <w:sz w:val="24"/>
          <w:szCs w:val="24"/>
          <w:lang w:eastAsia="zh-CN"/>
        </w:rPr>
        <w:t>如不提供此声明函，不得参加专门面向中小企业采购项目或者</w:t>
      </w:r>
      <w:r>
        <w:rPr>
          <w:rFonts w:hint="eastAsia" w:ascii="宋体" w:hAnsi="宋体" w:eastAsia="宋体" w:cs="Times New Roman"/>
          <w:sz w:val="24"/>
          <w:szCs w:val="24"/>
          <w:lang w:val="en-US" w:eastAsia="zh-CN"/>
        </w:rPr>
        <w:t>不得享受小微企业价格扣除政策</w:t>
      </w:r>
      <w:r>
        <w:rPr>
          <w:rFonts w:hint="eastAsia" w:ascii="宋体" w:hAnsi="宋体" w:eastAsia="宋体" w:cs="Times New Roman"/>
          <w:sz w:val="24"/>
          <w:szCs w:val="24"/>
          <w:lang w:eastAsia="zh-CN"/>
        </w:rPr>
        <w:t>。</w:t>
      </w:r>
      <w:r>
        <w:rPr>
          <w:rFonts w:hint="eastAsia" w:ascii="宋体" w:hAnsi="宋体" w:cs="Times New Roman"/>
          <w:sz w:val="24"/>
          <w:szCs w:val="24"/>
          <w:lang w:val="en-US" w:eastAsia="zh-CN"/>
        </w:rPr>
        <w:t>项目</w:t>
      </w:r>
      <w:r>
        <w:rPr>
          <w:rFonts w:hint="eastAsia" w:ascii="宋体" w:hAnsi="宋体" w:eastAsia="宋体" w:cs="Times New Roman"/>
          <w:sz w:val="24"/>
          <w:szCs w:val="24"/>
          <w:lang w:eastAsia="zh-CN"/>
        </w:rPr>
        <w:t>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4.服务</w:t>
      </w:r>
      <w:r>
        <w:rPr>
          <w:rFonts w:hint="eastAsia" w:ascii="宋体" w:hAnsi="宋体" w:eastAsia="宋体" w:cs="Times New Roman"/>
          <w:sz w:val="24"/>
          <w:szCs w:val="24"/>
          <w:lang w:eastAsia="zh-CN"/>
        </w:rPr>
        <w:t>采购项目中，服务的承接商应当为中小企业，不对其中涉及的货物的制造商、工程的承建商作出要求。</w:t>
      </w:r>
    </w:p>
    <w:p w14:paraId="49DADE13">
      <w:pPr>
        <w:spacing w:line="360" w:lineRule="auto"/>
        <w:ind w:firstLine="0"/>
        <w:jc w:val="left"/>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十一、</w:t>
      </w:r>
      <w:r>
        <w:rPr>
          <w:rFonts w:hint="eastAsia" w:ascii="黑体" w:hAnsi="黑体" w:eastAsia="黑体" w:cs="Times New Roman"/>
          <w:i w:val="0"/>
          <w:iCs w:val="0"/>
          <w:sz w:val="32"/>
          <w:szCs w:val="32"/>
          <w:u w:val="none"/>
          <w:lang w:val="en-US" w:eastAsia="zh-CN"/>
        </w:rPr>
        <w:t>残疾人福利性单位声明函</w:t>
      </w:r>
    </w:p>
    <w:p w14:paraId="6634555B">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残疾人福利性单位声明函</w:t>
      </w:r>
    </w:p>
    <w:p w14:paraId="7B31D90B">
      <w:pPr>
        <w:keepNext w:val="0"/>
        <w:keepLines w:val="0"/>
        <w:pageBreakBefore w:val="0"/>
        <w:widowControl w:val="0"/>
        <w:spacing w:line="360" w:lineRule="auto"/>
        <w:ind w:firstLine="480"/>
        <w:rPr>
          <w:rFonts w:hint="eastAsia" w:ascii="宋体" w:hAnsi="宋体"/>
          <w:sz w:val="24"/>
          <w:szCs w:val="21"/>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eastAsia="宋体" w:cs="Times New Roman"/>
          <w:sz w:val="24"/>
          <w:szCs w:val="24"/>
          <w:u w:val="none"/>
          <w:lang w:eastAsia="zh-CN"/>
        </w:rPr>
        <w:t>采购包</w:t>
      </w:r>
      <w:r>
        <w:rPr>
          <w:rFonts w:hint="eastAsia" w:ascii="宋体" w:hAnsi="宋体" w:eastAsia="宋体" w:cs="Times New Roman"/>
          <w:sz w:val="24"/>
          <w:szCs w:val="24"/>
          <w:u w:val="none"/>
        </w:rPr>
        <w:t>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lang w:eastAsia="zh-CN"/>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szCs w:val="24"/>
        </w:rPr>
        <w:t>服务全部由</w:t>
      </w:r>
      <w:r>
        <w:rPr>
          <w:rFonts w:hint="eastAsia" w:ascii="宋体" w:hAnsi="宋体"/>
          <w:sz w:val="24"/>
          <w:szCs w:val="24"/>
          <w:lang w:eastAsia="zh-CN"/>
        </w:rPr>
        <w:t>本单位提供</w:t>
      </w:r>
      <w:r>
        <w:rPr>
          <w:rFonts w:hint="eastAsia" w:ascii="宋体" w:hAnsi="宋体"/>
          <w:sz w:val="24"/>
          <w:szCs w:val="21"/>
        </w:rPr>
        <w:t>。</w:t>
      </w:r>
    </w:p>
    <w:p w14:paraId="77754D8A">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本单位对上述声明的真实性负责</w:t>
      </w:r>
      <w:r>
        <w:rPr>
          <w:rFonts w:hint="eastAsia" w:ascii="宋体" w:hAnsi="宋体"/>
          <w:sz w:val="24"/>
          <w:lang w:eastAsia="zh-CN"/>
        </w:rPr>
        <w:t>，</w:t>
      </w:r>
      <w:r>
        <w:rPr>
          <w:rFonts w:hint="eastAsia" w:ascii="宋体" w:hAnsi="宋体"/>
          <w:sz w:val="24"/>
        </w:rPr>
        <w:t>如有虚假，将依法承担相应责任。</w:t>
      </w:r>
    </w:p>
    <w:p w14:paraId="38AC0B26">
      <w:pPr>
        <w:pStyle w:val="245"/>
        <w:keepNext w:val="0"/>
        <w:keepLines w:val="0"/>
        <w:pageBreakBefore w:val="0"/>
        <w:widowControl w:val="0"/>
        <w:spacing w:line="360" w:lineRule="auto"/>
        <w:rPr>
          <w:rFonts w:hint="eastAsia" w:ascii="宋体" w:hAnsi="宋体"/>
          <w:sz w:val="24"/>
          <w:szCs w:val="24"/>
          <w:lang w:eastAsia="zh-CN"/>
        </w:rPr>
      </w:pPr>
    </w:p>
    <w:p w14:paraId="2089B361">
      <w:pPr>
        <w:keepNext w:val="0"/>
        <w:keepLines w:val="0"/>
        <w:pageBreakBefore w:val="0"/>
        <w:widowControl w:val="0"/>
        <w:spacing w:line="360" w:lineRule="auto"/>
        <w:rPr>
          <w:rFonts w:hint="eastAsia"/>
          <w:lang w:eastAsia="zh-CN"/>
        </w:rPr>
      </w:pPr>
    </w:p>
    <w:p w14:paraId="3BC5A561">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41E6F916">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1F6FB2FB">
      <w:pPr>
        <w:keepNext w:val="0"/>
        <w:keepLines w:val="0"/>
        <w:pageBreakBefore w:val="0"/>
        <w:widowControl w:val="0"/>
        <w:spacing w:line="360" w:lineRule="auto"/>
        <w:ind w:firstLine="480"/>
        <w:rPr>
          <w:rFonts w:hint="eastAsia" w:ascii="宋体" w:hAnsi="宋体"/>
          <w:sz w:val="24"/>
        </w:rPr>
      </w:pPr>
    </w:p>
    <w:p w14:paraId="5B808322">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备注：</w:t>
      </w:r>
    </w:p>
    <w:p w14:paraId="60CC51E1">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lang w:eastAsia="zh-CN"/>
        </w:rPr>
        <w:t>供应商</w:t>
      </w:r>
      <w:r>
        <w:rPr>
          <w:rFonts w:hint="eastAsia" w:ascii="宋体" w:hAnsi="宋体"/>
          <w:sz w:val="24"/>
        </w:rPr>
        <w:t>如不提供此声明函，价格将不做相应扣除。</w:t>
      </w:r>
    </w:p>
    <w:p w14:paraId="37718D51">
      <w:pPr>
        <w:keepNext w:val="0"/>
        <w:keepLines w:val="0"/>
        <w:pageBreakBefore w:val="0"/>
        <w:widowControl w:val="0"/>
        <w:spacing w:line="360" w:lineRule="auto"/>
        <w:ind w:firstLine="480"/>
        <w:rPr>
          <w:rFonts w:ascii="宋体" w:hAnsi="宋体"/>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lang w:eastAsia="zh-CN"/>
        </w:rPr>
        <w:t>成交供应商</w:t>
      </w:r>
      <w:r>
        <w:rPr>
          <w:rFonts w:hint="eastAsia" w:ascii="宋体" w:hAnsi="宋体"/>
          <w:sz w:val="24"/>
        </w:rPr>
        <w:t>为残疾人福利</w:t>
      </w:r>
      <w:r>
        <w:rPr>
          <w:rFonts w:hint="eastAsia" w:ascii="宋体" w:hAnsi="宋体"/>
          <w:sz w:val="24"/>
          <w:lang w:val="en-US" w:eastAsia="zh-CN"/>
        </w:rPr>
        <w:t>性</w:t>
      </w:r>
      <w:r>
        <w:rPr>
          <w:rFonts w:hint="eastAsia" w:ascii="宋体" w:hAnsi="宋体"/>
          <w:sz w:val="24"/>
        </w:rPr>
        <w:t>单位的，此声明函将随</w:t>
      </w:r>
      <w:r>
        <w:rPr>
          <w:rFonts w:hint="eastAsia" w:ascii="宋体" w:hAnsi="宋体"/>
          <w:sz w:val="24"/>
          <w:lang w:eastAsia="zh-CN"/>
        </w:rPr>
        <w:t>成交</w:t>
      </w:r>
      <w:r>
        <w:rPr>
          <w:rFonts w:hint="eastAsia" w:ascii="宋体" w:hAnsi="宋体"/>
          <w:sz w:val="24"/>
        </w:rPr>
        <w:t>结果同时公告，接受社会监督</w:t>
      </w:r>
      <w:r>
        <w:rPr>
          <w:rFonts w:hint="eastAsia" w:ascii="宋体" w:hAnsi="宋体"/>
          <w:sz w:val="24"/>
          <w:lang w:eastAsia="zh-CN"/>
        </w:rPr>
        <w:t>。</w:t>
      </w:r>
    </w:p>
    <w:p w14:paraId="2C483845">
      <w:pPr>
        <w:spacing w:line="480" w:lineRule="exact"/>
        <w:ind w:firstLine="480"/>
        <w:rPr>
          <w:rFonts w:ascii="宋体" w:hAnsi="宋体"/>
          <w:sz w:val="24"/>
        </w:rPr>
      </w:pPr>
    </w:p>
    <w:p w14:paraId="3D421D62">
      <w:pPr>
        <w:spacing w:line="560" w:lineRule="exact"/>
        <w:jc w:val="center"/>
        <w:rPr>
          <w:rFonts w:hint="eastAsia" w:ascii="黑体" w:hAnsi="黑体" w:eastAsia="黑体"/>
          <w:b/>
          <w:sz w:val="32"/>
          <w:szCs w:val="32"/>
        </w:rPr>
      </w:pPr>
    </w:p>
    <w:p w14:paraId="7EF9009A">
      <w:pPr>
        <w:spacing w:line="560" w:lineRule="exact"/>
        <w:jc w:val="center"/>
        <w:rPr>
          <w:rFonts w:hint="eastAsia" w:ascii="黑体" w:hAnsi="黑体" w:eastAsia="黑体"/>
          <w:b/>
          <w:sz w:val="32"/>
          <w:szCs w:val="32"/>
        </w:rPr>
      </w:pPr>
    </w:p>
    <w:p w14:paraId="5AA90CE6">
      <w:pPr>
        <w:spacing w:line="560" w:lineRule="exact"/>
        <w:jc w:val="center"/>
        <w:rPr>
          <w:rFonts w:hint="eastAsia" w:ascii="黑体" w:hAnsi="黑体" w:eastAsia="黑体"/>
          <w:b/>
          <w:sz w:val="32"/>
          <w:szCs w:val="32"/>
        </w:rPr>
      </w:pPr>
    </w:p>
    <w:p w14:paraId="68670CBA">
      <w:pPr>
        <w:spacing w:line="560" w:lineRule="exact"/>
        <w:jc w:val="center"/>
        <w:rPr>
          <w:rFonts w:hint="eastAsia" w:ascii="黑体" w:hAnsi="黑体" w:eastAsia="黑体"/>
          <w:b/>
          <w:sz w:val="32"/>
          <w:szCs w:val="32"/>
        </w:rPr>
      </w:pPr>
    </w:p>
    <w:p w14:paraId="1E811974">
      <w:pPr>
        <w:spacing w:line="560" w:lineRule="exact"/>
        <w:jc w:val="center"/>
        <w:rPr>
          <w:rFonts w:hint="eastAsia" w:ascii="黑体" w:hAnsi="黑体" w:eastAsia="黑体"/>
          <w:b/>
          <w:sz w:val="32"/>
          <w:szCs w:val="32"/>
        </w:rPr>
      </w:pPr>
    </w:p>
    <w:p w14:paraId="78A492D1">
      <w:pPr>
        <w:spacing w:line="560" w:lineRule="exact"/>
        <w:jc w:val="center"/>
        <w:rPr>
          <w:rFonts w:hint="eastAsia" w:ascii="黑体" w:hAnsi="黑体" w:eastAsia="黑体"/>
          <w:b/>
          <w:sz w:val="32"/>
          <w:szCs w:val="32"/>
        </w:rPr>
      </w:pPr>
    </w:p>
    <w:p w14:paraId="1A27543C">
      <w:pPr>
        <w:spacing w:line="560" w:lineRule="exact"/>
        <w:jc w:val="center"/>
        <w:rPr>
          <w:rFonts w:hint="eastAsia" w:ascii="黑体" w:hAnsi="黑体" w:eastAsia="黑体"/>
          <w:b/>
          <w:sz w:val="32"/>
          <w:szCs w:val="32"/>
        </w:rPr>
      </w:pPr>
    </w:p>
    <w:p w14:paraId="63340823">
      <w:pPr>
        <w:spacing w:line="560" w:lineRule="exact"/>
        <w:jc w:val="center"/>
        <w:rPr>
          <w:rFonts w:hint="eastAsia" w:ascii="黑体" w:hAnsi="黑体" w:eastAsia="黑体"/>
          <w:b/>
          <w:sz w:val="32"/>
          <w:szCs w:val="32"/>
        </w:rPr>
      </w:pPr>
    </w:p>
    <w:p w14:paraId="510A0CAC">
      <w:pPr>
        <w:spacing w:line="560" w:lineRule="exact"/>
        <w:jc w:val="center"/>
        <w:rPr>
          <w:rFonts w:hint="eastAsia" w:ascii="黑体" w:hAnsi="黑体" w:eastAsia="黑体"/>
          <w:b/>
          <w:sz w:val="32"/>
          <w:szCs w:val="32"/>
        </w:rPr>
      </w:pPr>
    </w:p>
    <w:p w14:paraId="16FE1423">
      <w:pPr>
        <w:spacing w:line="560" w:lineRule="exact"/>
        <w:jc w:val="center"/>
        <w:rPr>
          <w:rFonts w:hint="eastAsia" w:ascii="黑体" w:hAnsi="黑体" w:eastAsia="黑体"/>
          <w:b/>
          <w:sz w:val="32"/>
          <w:szCs w:val="32"/>
        </w:rPr>
      </w:pPr>
    </w:p>
    <w:p w14:paraId="77DAFD42">
      <w:pPr>
        <w:numPr>
          <w:ilvl w:val="0"/>
          <w:numId w:val="0"/>
        </w:numPr>
        <w:spacing w:line="360" w:lineRule="auto"/>
        <w:jc w:val="left"/>
        <w:rPr>
          <w:rFonts w:hint="eastAsia" w:ascii="黑体" w:hAnsi="黑体" w:eastAsia="黑体" w:cs="Times New Roman"/>
          <w:i w:val="0"/>
          <w:iCs w:val="0"/>
          <w:sz w:val="32"/>
          <w:szCs w:val="32"/>
          <w:u w:val="none"/>
          <w:lang w:val="en-US" w:eastAsia="zh-CN"/>
        </w:rPr>
      </w:pPr>
    </w:p>
    <w:p w14:paraId="5B7E0020">
      <w:pPr>
        <w:spacing w:line="360" w:lineRule="auto"/>
        <w:ind w:firstLine="0"/>
        <w:jc w:val="left"/>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十二、联合体协议</w:t>
      </w:r>
    </w:p>
    <w:p w14:paraId="36216CA2">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联合体协议</w:t>
      </w:r>
    </w:p>
    <w:p w14:paraId="77052343">
      <w:pPr>
        <w:keepNext w:val="0"/>
        <w:keepLines w:val="0"/>
        <w:pageBreakBefore w:val="0"/>
        <w:widowControl w:val="0"/>
        <w:spacing w:line="360" w:lineRule="auto"/>
        <w:rPr>
          <w:rFonts w:ascii="宋体" w:hAnsi="宋体"/>
          <w:sz w:val="24"/>
        </w:rPr>
      </w:pPr>
      <w:r>
        <w:rPr>
          <w:rFonts w:hint="eastAsia" w:ascii="宋体" w:hAnsi="宋体"/>
          <w:sz w:val="24"/>
        </w:rPr>
        <w:t>（联合体中各供应商全称）在此达成以下协议：</w:t>
      </w:r>
    </w:p>
    <w:p w14:paraId="3B49EB37">
      <w:pPr>
        <w:keepNext w:val="0"/>
        <w:keepLines w:val="0"/>
        <w:pageBreakBefore w:val="0"/>
        <w:widowControl w:val="0"/>
        <w:spacing w:line="360" w:lineRule="auto"/>
        <w:ind w:firstLine="480"/>
        <w:rPr>
          <w:rFonts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我们</w:t>
      </w:r>
      <w:r>
        <w:rPr>
          <w:rFonts w:hint="eastAsia" w:ascii="宋体" w:hAnsi="宋体"/>
          <w:sz w:val="24"/>
          <w:u w:val="single"/>
        </w:rPr>
        <w:t xml:space="preserve"> （供应商1），（供应商2） ，</w:t>
      </w:r>
      <w:r>
        <w:rPr>
          <w:rFonts w:ascii="宋体" w:hAnsi="宋体"/>
          <w:sz w:val="24"/>
          <w:u w:val="single"/>
        </w:rPr>
        <w:t>……</w:t>
      </w:r>
      <w:r>
        <w:rPr>
          <w:rFonts w:hint="eastAsia" w:ascii="宋体" w:hAnsi="宋体"/>
          <w:sz w:val="24"/>
        </w:rPr>
        <w:t>自愿组成联合体，</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采购包</w:t>
      </w:r>
      <w:r>
        <w:rPr>
          <w:rFonts w:hint="eastAsia" w:ascii="宋体" w:hAnsi="宋体" w:eastAsia="宋体" w:cs="Times New Roman"/>
          <w:sz w:val="24"/>
          <w:szCs w:val="24"/>
          <w:u w:val="none"/>
        </w:rPr>
        <w:t>号：</w:t>
      </w:r>
      <w:r>
        <w:rPr>
          <w:rFonts w:hint="eastAsia" w:ascii="宋体" w:hAnsi="宋体" w:eastAsia="宋体" w:cs="Times New Roman"/>
          <w:sz w:val="24"/>
          <w:szCs w:val="24"/>
          <w:u w:val="single"/>
          <w:lang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rPr>
        <w:t>，</w:t>
      </w:r>
      <w:r>
        <w:rPr>
          <w:rFonts w:hint="eastAsia" w:ascii="宋体" w:hAnsi="宋体"/>
          <w:sz w:val="24"/>
          <w:lang w:val="en-US" w:eastAsia="zh-CN"/>
        </w:rPr>
        <w:t>并</w:t>
      </w:r>
      <w:r>
        <w:rPr>
          <w:rFonts w:hint="eastAsia" w:ascii="宋体" w:hAnsi="宋体"/>
          <w:sz w:val="24"/>
        </w:rPr>
        <w:t>指定</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为牵头单位。</w:t>
      </w:r>
    </w:p>
    <w:p w14:paraId="71117873">
      <w:pPr>
        <w:keepNext w:val="0"/>
        <w:keepLines w:val="0"/>
        <w:pageBreakBefore w:val="0"/>
        <w:widowControl w:val="0"/>
        <w:spacing w:line="360" w:lineRule="auto"/>
        <w:ind w:firstLine="480"/>
        <w:rPr>
          <w:rFonts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若我们联合</w:t>
      </w:r>
      <w:r>
        <w:rPr>
          <w:rFonts w:hint="eastAsia" w:ascii="宋体" w:hAnsi="宋体"/>
          <w:sz w:val="24"/>
          <w:lang w:eastAsia="zh-CN"/>
        </w:rPr>
        <w:t>成交</w:t>
      </w:r>
      <w:r>
        <w:rPr>
          <w:rFonts w:hint="eastAsia" w:ascii="宋体" w:hAnsi="宋体"/>
          <w:sz w:val="24"/>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部分工作，并承担相应的责任</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部分工作，并承担相应的责任</w:t>
      </w:r>
      <w:r>
        <w:rPr>
          <w:rFonts w:hint="eastAsia" w:ascii="宋体" w:hAnsi="宋体"/>
          <w:sz w:val="24"/>
          <w:lang w:eastAsia="zh-CN"/>
        </w:rPr>
        <w:t>；</w:t>
      </w:r>
      <w:r>
        <w:rPr>
          <w:rFonts w:hint="eastAsia" w:ascii="宋体" w:hAnsi="宋体"/>
          <w:sz w:val="24"/>
        </w:rPr>
        <w:t>……。（注：</w:t>
      </w:r>
      <w:r>
        <w:rPr>
          <w:rFonts w:hint="eastAsia" w:ascii="宋体" w:hAnsi="宋体"/>
          <w:sz w:val="24"/>
          <w:lang w:val="en-US" w:eastAsia="zh-CN"/>
        </w:rPr>
        <w:t>需明确</w:t>
      </w:r>
      <w:r>
        <w:rPr>
          <w:rFonts w:hint="eastAsia" w:ascii="宋体" w:hAnsi="宋体"/>
          <w:sz w:val="24"/>
        </w:rPr>
        <w:t>联合体中各供应商所承担的工作和相应的责任）。</w:t>
      </w:r>
    </w:p>
    <w:p w14:paraId="1D6D84EA">
      <w:pPr>
        <w:keepNext w:val="0"/>
        <w:keepLines w:val="0"/>
        <w:pageBreakBefore w:val="0"/>
        <w:widowControl w:val="0"/>
        <w:spacing w:line="360" w:lineRule="auto"/>
        <w:ind w:firstLine="480"/>
        <w:rPr>
          <w:rFonts w:hint="eastAsia" w:ascii="宋体" w:hAnsi="宋体"/>
          <w:sz w:val="24"/>
        </w:rPr>
      </w:pPr>
      <w:r>
        <w:rPr>
          <w:rFonts w:ascii="宋体" w:hAnsi="宋体"/>
          <w:sz w:val="24"/>
        </w:rPr>
        <w:t>3</w:t>
      </w:r>
      <w:r>
        <w:rPr>
          <w:rFonts w:hint="eastAsia" w:ascii="宋体" w:hAnsi="宋体"/>
          <w:sz w:val="24"/>
          <w:lang w:val="en-US" w:eastAsia="zh-CN"/>
        </w:rPr>
        <w:t>.</w:t>
      </w:r>
      <w:r>
        <w:rPr>
          <w:rFonts w:hint="eastAsia" w:ascii="宋体" w:hAnsi="宋体"/>
          <w:sz w:val="24"/>
        </w:rPr>
        <w:t>其中</w:t>
      </w:r>
      <w:r>
        <w:rPr>
          <w:rFonts w:hint="eastAsia" w:ascii="宋体" w:hAnsi="宋体"/>
          <w:sz w:val="24"/>
          <w:lang w:eastAsia="zh-CN"/>
        </w:rPr>
        <w:t>，</w:t>
      </w:r>
      <w:r>
        <w:rPr>
          <w:rFonts w:hint="eastAsia" w:ascii="宋体" w:hAnsi="宋体"/>
          <w:sz w:val="24"/>
          <w:u w:val="single"/>
          <w:lang w:val="en-US" w:eastAsia="zh-CN"/>
        </w:rPr>
        <w:t>XXXXXXXXX</w:t>
      </w:r>
      <w:r>
        <w:rPr>
          <w:rFonts w:hint="eastAsia" w:ascii="宋体" w:hAnsi="宋体"/>
          <w:sz w:val="24"/>
          <w:u w:val="none"/>
        </w:rPr>
        <w:t>（企业全称）</w:t>
      </w:r>
      <w:r>
        <w:rPr>
          <w:rFonts w:hint="eastAsia" w:ascii="宋体" w:hAnsi="宋体"/>
          <w:sz w:val="24"/>
        </w:rPr>
        <w:t>为</w:t>
      </w:r>
      <w:r>
        <w:rPr>
          <w:rFonts w:ascii="Wingdings" w:hAnsi="Wingdings" w:eastAsia="Wingdings" w:cs="Wingdings"/>
          <w:sz w:val="24"/>
          <w:szCs w:val="24"/>
          <w:u w:val="none"/>
        </w:rPr>
        <w:t>¨</w:t>
      </w:r>
      <w:r>
        <w:rPr>
          <w:rFonts w:hint="eastAsia" w:ascii="宋体" w:hAnsi="宋体"/>
          <w:sz w:val="24"/>
          <w:u w:val="none"/>
        </w:rPr>
        <w:t>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监狱企业</w:t>
      </w:r>
      <w:r>
        <w:rPr>
          <w:rFonts w:hint="eastAsia" w:ascii="宋体" w:hAnsi="宋体"/>
          <w:sz w:val="24"/>
        </w:rPr>
        <w:t>，且我们约定该单位所承担的合同金额将占本项目合同总金额的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4C58EA0E">
      <w:pPr>
        <w:keepNext w:val="0"/>
        <w:keepLines w:val="0"/>
        <w:pageBreakBefore w:val="0"/>
        <w:widowControl w:val="0"/>
        <w:spacing w:line="360" w:lineRule="auto"/>
        <w:ind w:firstLine="645"/>
        <w:rPr>
          <w:rFonts w:hint="eastAsia" w:ascii="宋体" w:hAnsi="宋体"/>
          <w:sz w:val="24"/>
        </w:rPr>
      </w:pPr>
    </w:p>
    <w:p w14:paraId="7E6E90E3">
      <w:pPr>
        <w:keepNext w:val="0"/>
        <w:keepLines w:val="0"/>
        <w:pageBreakBefore w:val="0"/>
        <w:widowControl w:val="0"/>
        <w:spacing w:line="360" w:lineRule="auto"/>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02641B3D">
      <w:pPr>
        <w:keepNext w:val="0"/>
        <w:keepLines w:val="0"/>
        <w:pageBreakBefore w:val="0"/>
        <w:widowControl w:val="0"/>
        <w:spacing w:line="360" w:lineRule="auto"/>
        <w:ind w:firstLine="645"/>
        <w:jc w:val="right"/>
        <w:rPr>
          <w:rFonts w:ascii="宋体" w:hAnsi="宋体"/>
          <w:sz w:val="24"/>
        </w:rPr>
      </w:pPr>
      <w:r>
        <w:rPr>
          <w:rFonts w:hint="eastAsia" w:ascii="宋体" w:hAnsi="宋体"/>
          <w:sz w:val="24"/>
        </w:rPr>
        <w:t>联合体中各供应商全称</w:t>
      </w:r>
      <w:r>
        <w:rPr>
          <w:rFonts w:hint="eastAsia" w:ascii="宋体" w:hAnsi="宋体"/>
          <w:sz w:val="24"/>
          <w:lang w:eastAsia="zh-CN"/>
        </w:rPr>
        <w:t>：</w:t>
      </w:r>
      <w:r>
        <w:rPr>
          <w:rFonts w:hint="eastAsia" w:ascii="宋体" w:hAnsi="宋体"/>
          <w:sz w:val="24"/>
          <w:szCs w:val="24"/>
        </w:rPr>
        <w:t>（加盖电子公章）</w:t>
      </w:r>
      <w:r>
        <w:rPr>
          <w:rFonts w:ascii="宋体" w:hAnsi="宋体"/>
          <w:sz w:val="24"/>
        </w:rPr>
        <w:t xml:space="preserve">    </w:t>
      </w:r>
    </w:p>
    <w:p w14:paraId="0AC55778">
      <w:pPr>
        <w:keepNext w:val="0"/>
        <w:keepLines w:val="0"/>
        <w:pageBreakBefore w:val="0"/>
        <w:widowControl w:val="0"/>
        <w:spacing w:line="360" w:lineRule="auto"/>
        <w:ind w:firstLine="528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r>
        <w:rPr>
          <w:rFonts w:hint="eastAsia"/>
          <w:color w:val="000000"/>
          <w:sz w:val="24"/>
          <w:szCs w:val="24"/>
          <w:lang w:eastAsia="zh-CN"/>
        </w:rPr>
        <w:t>：</w:t>
      </w:r>
    </w:p>
    <w:p w14:paraId="4CDD5AAC">
      <w:pPr>
        <w:keepNext w:val="0"/>
        <w:keepLines w:val="0"/>
        <w:pageBreakBefore w:val="0"/>
        <w:widowControl w:val="0"/>
        <w:spacing w:line="360" w:lineRule="auto"/>
        <w:ind w:firstLine="480"/>
        <w:rPr>
          <w:rFonts w:hint="eastAsia" w:ascii="宋体" w:hAnsi="宋体"/>
          <w:sz w:val="24"/>
        </w:rPr>
      </w:pPr>
    </w:p>
    <w:p w14:paraId="12E3C100">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备注：</w:t>
      </w:r>
    </w:p>
    <w:p w14:paraId="4DE16AEF">
      <w:pPr>
        <w:keepNext w:val="0"/>
        <w:keepLines w:val="0"/>
        <w:pageBreakBefore w:val="0"/>
        <w:widowControl w:val="0"/>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1.</w:t>
      </w:r>
      <w:r>
        <w:rPr>
          <w:rFonts w:hint="eastAsia" w:ascii="宋体" w:hAnsi="宋体" w:eastAsia="宋体" w:cs="Times New Roman"/>
          <w:sz w:val="24"/>
        </w:rPr>
        <w:t>牵头单位必须为联合体成员</w:t>
      </w:r>
      <w:r>
        <w:rPr>
          <w:rFonts w:hint="eastAsia" w:ascii="宋体" w:hAnsi="宋体" w:eastAsia="宋体" w:cs="Times New Roman"/>
          <w:sz w:val="24"/>
          <w:lang w:eastAsia="zh-CN"/>
        </w:rPr>
        <w:t>。</w:t>
      </w:r>
    </w:p>
    <w:p w14:paraId="37ED67E6">
      <w:pPr>
        <w:keepNext w:val="0"/>
        <w:keepLines w:val="0"/>
        <w:pageBreakBefore w:val="0"/>
        <w:widowControl w:val="0"/>
        <w:spacing w:line="360" w:lineRule="auto"/>
        <w:ind w:firstLine="480"/>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p>
    <w:p w14:paraId="4C2F7801">
      <w:pPr>
        <w:keepNext w:val="0"/>
        <w:keepLines w:val="0"/>
        <w:pageBreakBefore w:val="0"/>
        <w:widowControl w:val="0"/>
        <w:spacing w:line="360" w:lineRule="auto"/>
        <w:ind w:firstLine="480"/>
        <w:rPr>
          <w:rFonts w:hint="eastAsia" w:ascii="宋体" w:hAnsi="宋体" w:eastAsia="宋体" w:cs="Times New Roman"/>
          <w:sz w:val="24"/>
        </w:rPr>
      </w:pPr>
      <w:r>
        <w:rPr>
          <w:rFonts w:hint="eastAsia" w:ascii="宋体" w:hAnsi="宋体" w:eastAsia="宋体" w:cs="Times New Roman"/>
          <w:sz w:val="24"/>
          <w:lang w:val="en-US" w:eastAsia="zh-CN"/>
        </w:rPr>
        <w:t>3.除另有说明外，本</w:t>
      </w:r>
      <w:r>
        <w:rPr>
          <w:rFonts w:hint="eastAsia" w:ascii="宋体" w:hAnsi="宋体" w:eastAsia="宋体" w:cs="Times New Roman"/>
          <w:sz w:val="24"/>
          <w:lang w:eastAsia="zh-CN"/>
        </w:rPr>
        <w:t>磋商</w:t>
      </w:r>
      <w:r>
        <w:rPr>
          <w:rFonts w:hint="eastAsia" w:ascii="宋体" w:hAnsi="宋体" w:eastAsia="宋体" w:cs="Times New Roman"/>
          <w:sz w:val="24"/>
        </w:rPr>
        <w:t>文件要求加盖电子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之处</w:t>
      </w:r>
      <w:r>
        <w:rPr>
          <w:rFonts w:hint="eastAsia" w:ascii="宋体" w:hAnsi="宋体" w:eastAsia="宋体" w:cs="Times New Roman"/>
          <w:sz w:val="24"/>
        </w:rPr>
        <w:t>，加盖牵头单位的电子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即可</w:t>
      </w:r>
      <w:r>
        <w:rPr>
          <w:rFonts w:hint="eastAsia" w:ascii="宋体" w:hAnsi="宋体" w:eastAsia="宋体" w:cs="Times New Roman"/>
          <w:sz w:val="24"/>
        </w:rPr>
        <w:t>。</w:t>
      </w:r>
    </w:p>
    <w:p w14:paraId="0E7B6B75">
      <w:pPr>
        <w:pStyle w:val="301"/>
        <w:rPr>
          <w:rFonts w:hint="eastAsia" w:ascii="宋体" w:hAnsi="宋体" w:eastAsia="宋体" w:cs="Times New Roman"/>
          <w:sz w:val="24"/>
        </w:rPr>
      </w:pPr>
    </w:p>
    <w:p w14:paraId="76CD6751">
      <w:pPr>
        <w:rPr>
          <w:rFonts w:hint="eastAsia"/>
        </w:rPr>
      </w:pPr>
    </w:p>
    <w:p w14:paraId="22D56D12">
      <w:pPr>
        <w:spacing w:line="560" w:lineRule="exact"/>
        <w:ind w:firstLine="645"/>
        <w:rPr>
          <w:rFonts w:ascii="宋体" w:hAnsi="宋体"/>
          <w:sz w:val="24"/>
        </w:rPr>
      </w:pPr>
    </w:p>
    <w:p w14:paraId="4466DC94">
      <w:pPr>
        <w:spacing w:line="560" w:lineRule="exact"/>
        <w:ind w:firstLine="645"/>
        <w:rPr>
          <w:rFonts w:hint="eastAsia" w:ascii="宋体" w:hAnsi="宋体"/>
          <w:sz w:val="24"/>
        </w:rPr>
      </w:pPr>
    </w:p>
    <w:p w14:paraId="743D7D4B">
      <w:pPr>
        <w:pStyle w:val="245"/>
        <w:rPr>
          <w:rFonts w:hint="eastAsia" w:ascii="宋体" w:hAnsi="宋体"/>
          <w:sz w:val="24"/>
        </w:rPr>
      </w:pPr>
    </w:p>
    <w:p w14:paraId="394BBB8B">
      <w:pPr>
        <w:rPr>
          <w:rFonts w:hint="eastAsia" w:ascii="宋体" w:hAnsi="宋体"/>
          <w:sz w:val="24"/>
        </w:rPr>
      </w:pPr>
    </w:p>
    <w:p w14:paraId="3ADE21BF">
      <w:pPr>
        <w:pStyle w:val="245"/>
        <w:rPr>
          <w:rFonts w:hint="eastAsia"/>
        </w:rPr>
      </w:pPr>
    </w:p>
    <w:p w14:paraId="216309D1">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质疑函</w:t>
      </w:r>
      <w:r>
        <w:rPr>
          <w:rFonts w:hint="eastAsia" w:ascii="方正小标宋简体" w:hAnsi="方正小标宋简体" w:eastAsia="方正小标宋简体" w:cs="方正小标宋简体"/>
          <w:b w:val="0"/>
          <w:bCs w:val="0"/>
          <w:sz w:val="32"/>
          <w:szCs w:val="32"/>
          <w:lang w:val="en-US" w:eastAsia="zh-CN"/>
        </w:rPr>
        <w:t>范本</w:t>
      </w:r>
    </w:p>
    <w:p w14:paraId="60B379C4">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036F3F6D">
      <w:pPr>
        <w:spacing w:line="360" w:lineRule="auto"/>
        <w:rPr>
          <w:rFonts w:ascii="宋体" w:hAnsi="宋体" w:cs="仿宋"/>
          <w:sz w:val="24"/>
          <w:szCs w:val="24"/>
          <w:u w:val="single"/>
        </w:rPr>
      </w:pPr>
      <w:r>
        <w:rPr>
          <w:rFonts w:hint="eastAsia" w:ascii="宋体" w:hAnsi="宋体" w:cs="仿宋"/>
          <w:sz w:val="24"/>
          <w:szCs w:val="24"/>
        </w:rPr>
        <w:t>供应商</w:t>
      </w:r>
      <w:r>
        <w:rPr>
          <w:rFonts w:hint="eastAsia" w:ascii="宋体" w:hAnsi="宋体" w:cs="仿宋"/>
          <w:sz w:val="24"/>
          <w:szCs w:val="24"/>
          <w:lang w:val="en-US" w:eastAsia="zh-CN"/>
        </w:rPr>
        <w:t>名称</w:t>
      </w:r>
      <w:r>
        <w:rPr>
          <w:rFonts w:hint="eastAsia" w:ascii="宋体" w:hAnsi="宋体" w:cs="仿宋"/>
          <w:sz w:val="24"/>
          <w:szCs w:val="24"/>
        </w:rPr>
        <w:t>：</w:t>
      </w:r>
      <w:r>
        <w:rPr>
          <w:rFonts w:hint="eastAsia" w:ascii="宋体" w:hAnsi="宋体" w:cs="仿宋"/>
          <w:sz w:val="24"/>
          <w:szCs w:val="24"/>
          <w:u w:val="single"/>
        </w:rPr>
        <w:t xml:space="preserve">                                                              </w:t>
      </w:r>
    </w:p>
    <w:p w14:paraId="641A6754">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2A0FCEC1">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628A5064">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E651319">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7D06B0B8">
      <w:pPr>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197896F3">
      <w:pPr>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lang w:val="en-US" w:eastAsia="zh-CN"/>
        </w:rPr>
        <w:t>采购包</w:t>
      </w:r>
      <w:r>
        <w:rPr>
          <w:rFonts w:hint="eastAsia" w:ascii="宋体" w:hAnsi="宋体" w:cs="仿宋"/>
          <w:sz w:val="24"/>
          <w:szCs w:val="24"/>
        </w:rPr>
        <w:t>号：</w:t>
      </w:r>
      <w:r>
        <w:rPr>
          <w:rFonts w:hint="eastAsia" w:ascii="宋体" w:hAnsi="宋体" w:cs="仿宋"/>
          <w:sz w:val="24"/>
          <w:szCs w:val="24"/>
          <w:u w:val="single"/>
        </w:rPr>
        <w:t xml:space="preserve">                   </w:t>
      </w:r>
    </w:p>
    <w:p w14:paraId="7CB75494">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02ABC024">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149C98FF">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6D7E4658">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4CE093E4">
      <w:pPr>
        <w:spacing w:line="360" w:lineRule="auto"/>
        <w:rPr>
          <w:rFonts w:ascii="宋体" w:hAnsi="宋体" w:cs="仿宋"/>
          <w:sz w:val="24"/>
          <w:szCs w:val="24"/>
        </w:rPr>
      </w:pPr>
      <w:r>
        <w:rPr>
          <w:rFonts w:hint="eastAsia" w:ascii="宋体" w:hAnsi="宋体" w:cs="仿宋"/>
          <w:sz w:val="24"/>
          <w:szCs w:val="24"/>
          <w:u w:val="single"/>
        </w:rPr>
        <w:t xml:space="preserve">                                                                          </w:t>
      </w:r>
    </w:p>
    <w:p w14:paraId="15A1613A">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308AEDF">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0DD677F8">
      <w:pPr>
        <w:spacing w:line="360" w:lineRule="auto"/>
        <w:rPr>
          <w:rFonts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lang w:eastAsia="zh-CN"/>
        </w:rPr>
        <w:t>：</w:t>
      </w:r>
      <w:r>
        <w:rPr>
          <w:rFonts w:hint="eastAsia" w:ascii="宋体" w:hAnsi="宋体" w:cs="仿宋"/>
          <w:sz w:val="24"/>
          <w:szCs w:val="24"/>
          <w:u w:val="single"/>
        </w:rPr>
        <w:t xml:space="preserve">                                                                </w:t>
      </w:r>
    </w:p>
    <w:p w14:paraId="59048D5E">
      <w:pPr>
        <w:spacing w:line="360" w:lineRule="auto"/>
        <w:rPr>
          <w:rFonts w:ascii="宋体" w:hAnsi="宋体" w:cs="仿宋"/>
          <w:sz w:val="24"/>
          <w:szCs w:val="24"/>
        </w:rPr>
      </w:pPr>
      <w:r>
        <w:rPr>
          <w:rFonts w:hint="eastAsia" w:ascii="宋体" w:hAnsi="宋体" w:cs="仿宋"/>
          <w:sz w:val="24"/>
          <w:szCs w:val="24"/>
        </w:rPr>
        <w:t>……</w:t>
      </w:r>
    </w:p>
    <w:p w14:paraId="367E596E">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7A3345EC">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7B6CDAE4">
      <w:pPr>
        <w:rPr>
          <w:rFonts w:hint="eastAsia" w:ascii="宋体" w:hAnsi="宋体"/>
          <w:sz w:val="24"/>
          <w:szCs w:val="24"/>
        </w:rPr>
      </w:pPr>
    </w:p>
    <w:p w14:paraId="3921C91F">
      <w:pPr>
        <w:rPr>
          <w:rFonts w:ascii="宋体" w:hAnsi="宋体"/>
          <w:sz w:val="24"/>
          <w:szCs w:val="24"/>
        </w:rPr>
      </w:pPr>
      <w:r>
        <w:rPr>
          <w:rFonts w:hint="eastAsia" w:ascii="宋体" w:hAnsi="宋体"/>
          <w:sz w:val="24"/>
          <w:szCs w:val="24"/>
        </w:rPr>
        <w:t>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公</w:t>
      </w:r>
      <w:r>
        <w:rPr>
          <w:rFonts w:hint="eastAsia" w:ascii="宋体" w:hAnsi="宋体"/>
          <w:sz w:val="24"/>
          <w:szCs w:val="24"/>
          <w:lang w:val="en-US" w:eastAsia="zh-CN"/>
        </w:rPr>
        <w:t xml:space="preserve">  </w:t>
      </w:r>
      <w:r>
        <w:rPr>
          <w:rFonts w:hint="eastAsia" w:ascii="宋体" w:hAnsi="宋体"/>
          <w:sz w:val="24"/>
          <w:szCs w:val="24"/>
        </w:rPr>
        <w:t xml:space="preserve">章：                      </w:t>
      </w:r>
    </w:p>
    <w:p w14:paraId="3AF28715">
      <w:pPr>
        <w:rPr>
          <w:rFonts w:ascii="宋体" w:hAnsi="宋体"/>
          <w:sz w:val="24"/>
          <w:szCs w:val="24"/>
        </w:rPr>
      </w:pPr>
      <w:r>
        <w:rPr>
          <w:rFonts w:hint="eastAsia" w:ascii="宋体" w:hAnsi="宋体"/>
          <w:sz w:val="24"/>
          <w:szCs w:val="24"/>
        </w:rPr>
        <w:t>日</w:t>
      </w:r>
      <w:r>
        <w:rPr>
          <w:rFonts w:hint="eastAsia" w:ascii="宋体" w:hAnsi="宋体"/>
          <w:sz w:val="24"/>
          <w:szCs w:val="24"/>
          <w:lang w:val="en-US" w:eastAsia="zh-CN"/>
        </w:rPr>
        <w:t xml:space="preserve">  </w:t>
      </w:r>
      <w:r>
        <w:rPr>
          <w:rFonts w:hint="eastAsia" w:ascii="宋体" w:hAnsi="宋体"/>
          <w:sz w:val="24"/>
          <w:szCs w:val="24"/>
        </w:rPr>
        <w:t xml:space="preserve">期：    </w:t>
      </w:r>
    </w:p>
    <w:p w14:paraId="1B1F802D">
      <w:pPr>
        <w:spacing w:line="480" w:lineRule="exact"/>
        <w:ind w:firstLine="480"/>
        <w:rPr>
          <w:rFonts w:hint="eastAsia" w:ascii="宋体" w:hAnsi="宋体"/>
          <w:b w:val="0"/>
          <w:bCs/>
          <w:sz w:val="24"/>
          <w:szCs w:val="24"/>
          <w:lang w:val="en-US" w:eastAsia="zh-CN"/>
        </w:rPr>
      </w:pPr>
    </w:p>
    <w:p w14:paraId="44CFFEBC">
      <w:pPr>
        <w:spacing w:line="480" w:lineRule="exact"/>
        <w:ind w:firstLine="480"/>
        <w:rPr>
          <w:rFonts w:hint="eastAsia" w:ascii="宋体" w:hAnsi="宋体"/>
          <w:b w:val="0"/>
          <w:bCs/>
          <w:sz w:val="24"/>
          <w:szCs w:val="24"/>
          <w:lang w:val="en-US" w:eastAsia="zh-CN"/>
        </w:rPr>
      </w:pPr>
    </w:p>
    <w:p w14:paraId="3D69733F">
      <w:pPr>
        <w:spacing w:line="480" w:lineRule="exact"/>
        <w:ind w:firstLine="480"/>
        <w:rPr>
          <w:rFonts w:ascii="宋体" w:hAnsi="宋体"/>
          <w:b w:val="0"/>
          <w:bCs/>
          <w:sz w:val="24"/>
          <w:szCs w:val="24"/>
        </w:rPr>
      </w:pPr>
      <w:r>
        <w:rPr>
          <w:rFonts w:hint="eastAsia" w:ascii="宋体" w:hAnsi="宋体"/>
          <w:b w:val="0"/>
          <w:bCs/>
          <w:sz w:val="24"/>
          <w:szCs w:val="24"/>
          <w:lang w:val="en-US" w:eastAsia="zh-CN"/>
        </w:rPr>
        <w:t>相关</w:t>
      </w:r>
      <w:r>
        <w:rPr>
          <w:rFonts w:hint="eastAsia" w:ascii="宋体" w:hAnsi="宋体"/>
          <w:b w:val="0"/>
          <w:bCs/>
          <w:sz w:val="24"/>
          <w:szCs w:val="24"/>
        </w:rPr>
        <w:t>说明：</w:t>
      </w:r>
    </w:p>
    <w:p w14:paraId="54754F60">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1.供应商提出质疑，应提交</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和必要的证明材料。</w:t>
      </w:r>
    </w:p>
    <w:p w14:paraId="6C1AEFCF">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w:t>
      </w:r>
      <w:r>
        <w:rPr>
          <w:rFonts w:hint="eastAsia" w:ascii="宋体" w:hAnsi="宋体" w:eastAsia="宋体" w:cs="仿宋"/>
          <w:sz w:val="24"/>
          <w:szCs w:val="24"/>
          <w:highlight w:val="none"/>
          <w:lang w:val="en-US" w:eastAsia="zh-CN"/>
        </w:rPr>
        <w:t>由授权代表负责</w:t>
      </w:r>
      <w:r>
        <w:rPr>
          <w:rFonts w:hint="eastAsia" w:ascii="宋体" w:hAnsi="宋体" w:eastAsia="宋体" w:cs="仿宋"/>
          <w:sz w:val="24"/>
          <w:szCs w:val="24"/>
          <w:highlight w:val="none"/>
          <w:lang w:eastAsia="zh-CN"/>
        </w:rPr>
        <w:t>质疑</w:t>
      </w:r>
      <w:r>
        <w:rPr>
          <w:rFonts w:hint="eastAsia" w:ascii="宋体" w:hAnsi="宋体" w:eastAsia="宋体" w:cs="仿宋"/>
          <w:sz w:val="24"/>
          <w:szCs w:val="24"/>
          <w:highlight w:val="none"/>
          <w:lang w:val="en-US" w:eastAsia="zh-CN"/>
        </w:rPr>
        <w:t>事宜</w:t>
      </w:r>
      <w:r>
        <w:rPr>
          <w:rFonts w:hint="eastAsia" w:ascii="宋体" w:hAnsi="宋体" w:eastAsia="宋体" w:cs="仿宋"/>
          <w:sz w:val="24"/>
          <w:szCs w:val="24"/>
          <w:highlight w:val="none"/>
          <w:lang w:eastAsia="zh-CN"/>
        </w:rPr>
        <w:t>的</w:t>
      </w:r>
      <w:r>
        <w:rPr>
          <w:rFonts w:hint="eastAsia" w:ascii="宋体" w:hAnsi="宋体" w:eastAsia="宋体" w:cs="仿宋"/>
          <w:b w:val="0"/>
          <w:bCs w:val="0"/>
          <w:sz w:val="24"/>
          <w:szCs w:val="24"/>
          <w:highlight w:val="none"/>
        </w:rPr>
        <w:t>，</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lang w:val="en-US" w:eastAsia="zh-CN"/>
        </w:rPr>
        <w:t>附件中</w:t>
      </w:r>
      <w:r>
        <w:rPr>
          <w:rFonts w:hint="eastAsia" w:ascii="宋体" w:hAnsi="宋体" w:eastAsia="宋体" w:cs="仿宋"/>
          <w:b w:val="0"/>
          <w:bCs w:val="0"/>
          <w:sz w:val="24"/>
          <w:szCs w:val="24"/>
          <w:highlight w:val="none"/>
        </w:rPr>
        <w:t>应</w:t>
      </w:r>
      <w:r>
        <w:rPr>
          <w:rFonts w:hint="eastAsia" w:ascii="宋体" w:hAnsi="宋体" w:eastAsia="宋体" w:cs="仿宋"/>
          <w:b w:val="0"/>
          <w:bCs w:val="0"/>
          <w:sz w:val="24"/>
          <w:szCs w:val="24"/>
          <w:highlight w:val="none"/>
          <w:lang w:val="en-US" w:eastAsia="zh-CN"/>
        </w:rPr>
        <w:t>提交</w:t>
      </w:r>
      <w:r>
        <w:rPr>
          <w:rFonts w:hint="eastAsia" w:ascii="宋体" w:hAnsi="宋体" w:eastAsia="宋体" w:cs="仿宋"/>
          <w:sz w:val="24"/>
          <w:szCs w:val="24"/>
          <w:highlight w:val="none"/>
          <w:lang w:eastAsia="zh-CN"/>
        </w:rPr>
        <w:t>由质疑供应商法定代表人签署的《授权委托书》</w:t>
      </w:r>
      <w:r>
        <w:rPr>
          <w:rFonts w:hint="eastAsia" w:ascii="宋体" w:hAnsi="宋体" w:eastAsia="宋体" w:cs="仿宋"/>
          <w:b w:val="0"/>
          <w:bCs w:val="0"/>
          <w:sz w:val="24"/>
          <w:szCs w:val="24"/>
          <w:highlight w:val="none"/>
        </w:rPr>
        <w:t>。</w:t>
      </w:r>
    </w:p>
    <w:p w14:paraId="58AC7A3A">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3.质疑供应商</w:t>
      </w:r>
      <w:r>
        <w:rPr>
          <w:rFonts w:hint="eastAsia" w:ascii="宋体" w:hAnsi="宋体" w:eastAsia="宋体" w:cs="仿宋"/>
          <w:b w:val="0"/>
          <w:bCs w:val="0"/>
          <w:sz w:val="24"/>
          <w:szCs w:val="24"/>
          <w:highlight w:val="none"/>
          <w:lang w:val="en-US" w:eastAsia="zh-CN"/>
        </w:rPr>
        <w:t>针</w:t>
      </w:r>
      <w:r>
        <w:rPr>
          <w:rFonts w:hint="eastAsia" w:ascii="宋体" w:hAnsi="宋体" w:eastAsia="宋体" w:cs="仿宋"/>
          <w:b w:val="0"/>
          <w:bCs w:val="0"/>
          <w:sz w:val="24"/>
          <w:szCs w:val="24"/>
          <w:highlight w:val="none"/>
        </w:rPr>
        <w:t>对项目的某一</w:t>
      </w:r>
      <w:r>
        <w:rPr>
          <w:rFonts w:hint="eastAsia" w:ascii="宋体" w:hAnsi="宋体" w:cs="仿宋"/>
          <w:b w:val="0"/>
          <w:bCs w:val="0"/>
          <w:sz w:val="24"/>
          <w:szCs w:val="24"/>
          <w:highlight w:val="none"/>
          <w:lang w:eastAsia="zh-CN"/>
        </w:rPr>
        <w:t>采购包</w:t>
      </w:r>
      <w:r>
        <w:rPr>
          <w:rFonts w:hint="eastAsia" w:ascii="宋体" w:hAnsi="宋体" w:eastAsia="宋体" w:cs="仿宋"/>
          <w:b w:val="0"/>
          <w:bCs w:val="0"/>
          <w:sz w:val="24"/>
          <w:szCs w:val="24"/>
          <w:highlight w:val="none"/>
        </w:rPr>
        <w:t>进行质疑</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rPr>
        <w:t>，</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中应</w:t>
      </w:r>
      <w:r>
        <w:rPr>
          <w:rFonts w:hint="eastAsia" w:ascii="宋体" w:hAnsi="宋体" w:eastAsia="宋体" w:cs="仿宋"/>
          <w:b w:val="0"/>
          <w:bCs w:val="0"/>
          <w:sz w:val="24"/>
          <w:szCs w:val="24"/>
          <w:highlight w:val="none"/>
          <w:lang w:val="en-US" w:eastAsia="zh-CN"/>
        </w:rPr>
        <w:t>明确</w:t>
      </w:r>
      <w:r>
        <w:rPr>
          <w:rFonts w:hint="eastAsia" w:ascii="宋体" w:hAnsi="宋体" w:cs="仿宋"/>
          <w:b w:val="0"/>
          <w:bCs w:val="0"/>
          <w:sz w:val="24"/>
          <w:szCs w:val="24"/>
          <w:highlight w:val="none"/>
          <w:lang w:eastAsia="zh-CN"/>
        </w:rPr>
        <w:t>采购包</w:t>
      </w:r>
      <w:r>
        <w:rPr>
          <w:rFonts w:hint="eastAsia" w:ascii="宋体" w:hAnsi="宋体" w:eastAsia="宋体" w:cs="仿宋"/>
          <w:b w:val="0"/>
          <w:bCs w:val="0"/>
          <w:sz w:val="24"/>
          <w:szCs w:val="24"/>
          <w:highlight w:val="none"/>
        </w:rPr>
        <w:t>号。</w:t>
      </w:r>
    </w:p>
    <w:p w14:paraId="34F8E0FB">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4.</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的质疑事项应具体、明确，并有必要的事实依据和法律依据。</w:t>
      </w:r>
    </w:p>
    <w:p w14:paraId="11EB13C1">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5.</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的质疑请求应与质疑事项相关。</w:t>
      </w:r>
    </w:p>
    <w:p w14:paraId="516DA717">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6.质疑供应商为自然人的，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应由本人签字；质疑供应商为法人或者其他组织的，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应由法定代表人、主要负责人，或者其授权代表签字或者</w:t>
      </w:r>
      <w:r>
        <w:rPr>
          <w:rFonts w:hint="eastAsia" w:ascii="宋体" w:hAnsi="宋体" w:eastAsia="宋体" w:cs="仿宋"/>
          <w:b w:val="0"/>
          <w:bCs w:val="0"/>
          <w:sz w:val="24"/>
          <w:szCs w:val="24"/>
          <w:highlight w:val="none"/>
          <w:lang w:val="en-US" w:eastAsia="zh-CN"/>
        </w:rPr>
        <w:t>签</w:t>
      </w:r>
      <w:r>
        <w:rPr>
          <w:rFonts w:hint="eastAsia" w:ascii="宋体" w:hAnsi="宋体" w:eastAsia="宋体" w:cs="仿宋"/>
          <w:b w:val="0"/>
          <w:bCs w:val="0"/>
          <w:sz w:val="24"/>
          <w:szCs w:val="24"/>
          <w:highlight w:val="none"/>
        </w:rPr>
        <w:t>章，并加盖公章。</w:t>
      </w:r>
    </w:p>
    <w:p w14:paraId="6D5B6D73">
      <w:pPr>
        <w:spacing w:line="480" w:lineRule="exact"/>
        <w:ind w:firstLine="480"/>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7.质疑</w:t>
      </w:r>
      <w:r>
        <w:rPr>
          <w:rFonts w:hint="eastAsia" w:ascii="宋体" w:hAnsi="宋体" w:eastAsia="宋体" w:cs="仿宋"/>
          <w:b w:val="0"/>
          <w:bCs w:val="0"/>
          <w:sz w:val="24"/>
          <w:szCs w:val="24"/>
          <w:highlight w:val="none"/>
          <w:lang w:val="zh-CN" w:eastAsia="zh-CN"/>
        </w:rPr>
        <w:t>供应商</w:t>
      </w:r>
      <w:r>
        <w:rPr>
          <w:rFonts w:hint="eastAsia" w:ascii="宋体" w:hAnsi="宋体" w:eastAsia="宋体" w:cs="仿宋"/>
          <w:b w:val="0"/>
          <w:bCs w:val="0"/>
          <w:sz w:val="24"/>
          <w:szCs w:val="24"/>
          <w:highlight w:val="none"/>
          <w:lang w:val="en-US" w:eastAsia="zh-CN"/>
        </w:rPr>
        <w:t>为</w:t>
      </w:r>
      <w:r>
        <w:rPr>
          <w:rFonts w:hint="eastAsia" w:ascii="宋体" w:hAnsi="宋体" w:eastAsia="宋体" w:cs="仿宋"/>
          <w:b w:val="0"/>
          <w:bCs w:val="0"/>
          <w:sz w:val="24"/>
          <w:szCs w:val="24"/>
          <w:highlight w:val="none"/>
          <w:lang w:val="zh-CN" w:eastAsia="zh-CN"/>
        </w:rPr>
        <w:t>联合体</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val="zh-CN" w:eastAsia="zh-CN"/>
        </w:rPr>
        <w:t>，则《质疑函》中要求加盖公章之处，联合体各方均须按要求加盖公章。</w:t>
      </w:r>
    </w:p>
    <w:p w14:paraId="60A4E546">
      <w:pPr>
        <w:spacing w:line="360" w:lineRule="auto"/>
        <w:ind w:firstLine="420"/>
        <w:rPr>
          <w:rFonts w:ascii="宋体" w:hAnsi="宋体" w:cs="宋体"/>
          <w:sz w:val="24"/>
          <w:szCs w:val="24"/>
          <w:highlight w:val="none"/>
        </w:rPr>
      </w:pPr>
    </w:p>
    <w:sectPr>
      <w:headerReference r:id="rId3" w:type="default"/>
      <w:footerReference r:id="rId4" w:type="default"/>
      <w:footerReference r:id="rId5" w:type="even"/>
      <w:pgSz w:w="11906" w:h="16838"/>
      <w:pgMar w:top="1440" w:right="1440" w:bottom="1440" w:left="1440" w:header="851"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FF97310-BBBD-48E0-9306-1C3C619CB313}"/>
  </w:font>
  <w:font w:name="Arial">
    <w:panose1 w:val="020B0604020202020204"/>
    <w:charset w:val="01"/>
    <w:family w:val="swiss"/>
    <w:pitch w:val="default"/>
    <w:sig w:usb0="E0002EFF" w:usb1="C000785B" w:usb2="00000009" w:usb3="00000000" w:csb0="400001FF" w:csb1="FFFF0000"/>
    <w:embedRegular r:id="rId2" w:fontKey="{B31F7869-2DBC-4EDB-9F37-523546ABA7A6}"/>
  </w:font>
  <w:font w:name="黑体">
    <w:panose1 w:val="02010609060101010101"/>
    <w:charset w:val="86"/>
    <w:family w:val="auto"/>
    <w:pitch w:val="default"/>
    <w:sig w:usb0="800002BF" w:usb1="38CF7CFA" w:usb2="00000016" w:usb3="00000000" w:csb0="00040001" w:csb1="00000000"/>
    <w:embedRegular r:id="rId3" w:fontKey="{B233CEEB-2891-461A-8140-1F44DA2B293E}"/>
  </w:font>
  <w:font w:name="Courier New">
    <w:panose1 w:val="02070309020205020404"/>
    <w:charset w:val="01"/>
    <w:family w:val="modern"/>
    <w:pitch w:val="default"/>
    <w:sig w:usb0="E0002EFF" w:usb1="C0007843" w:usb2="00000009" w:usb3="00000000" w:csb0="400001FF" w:csb1="FFFF0000"/>
    <w:embedRegular r:id="rId4" w:fontKey="{B421F5F5-B6F3-406C-A5FE-9C07B9E4C73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5" w:fontKey="{86A594C2-23E7-4D23-AE2E-ECDD19DA6BF5}"/>
  </w:font>
  <w:font w:name="仿宋">
    <w:panose1 w:val="02010609060101010101"/>
    <w:charset w:val="86"/>
    <w:family w:val="auto"/>
    <w:pitch w:val="default"/>
    <w:sig w:usb0="800002BF" w:usb1="38CF7CFA" w:usb2="00000016" w:usb3="00000000" w:csb0="00040001" w:csb1="00000000"/>
    <w:embedRegular r:id="rId6" w:fontKey="{D4AC175D-E351-4195-9652-4F56D7057413}"/>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embedRegular r:id="rId7" w:fontKey="{3B5222A3-5D0E-4632-91AE-402E39BA22C5}"/>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embedRegular r:id="rId8" w:fontKey="{8393A0F5-1C9A-4AE1-B8F4-F8DA4F794DA2}"/>
  </w:font>
  <w:font w:name="方正小标宋_GBK">
    <w:altName w:val="微软雅黑"/>
    <w:panose1 w:val="03000509000000000000"/>
    <w:charset w:val="86"/>
    <w:family w:val="auto"/>
    <w:pitch w:val="default"/>
    <w:sig w:usb0="00000000" w:usb1="00000000" w:usb2="00000000" w:usb3="00000000" w:csb0="00040000" w:csb1="00000000"/>
  </w:font>
  <w:font w:name="方正小标宋简体">
    <w:panose1 w:val="02010600010101010101"/>
    <w:charset w:val="86"/>
    <w:family w:val="auto"/>
    <w:pitch w:val="default"/>
    <w:sig w:usb0="00000001" w:usb1="080E0000" w:usb2="00000000" w:usb3="00000000" w:csb0="00040000" w:csb1="00000000"/>
    <w:embedRegular r:id="rId9" w:fontKey="{CE416F89-40D7-42D3-9C23-2B91B1D4AB05}"/>
  </w:font>
  <w:font w:name="helvetica">
    <w:altName w:val="Segoe Print"/>
    <w:panose1 w:val="00000000000000000000"/>
    <w:charset w:val="00"/>
    <w:family w:val="auto"/>
    <w:pitch w:val="default"/>
    <w:sig w:usb0="00000000" w:usb1="00000000" w:usb2="00000000" w:usb3="00000000" w:csb0="00000000" w:csb1="00000000"/>
    <w:embedRegular r:id="rId10" w:fontKey="{18E2AF40-D022-4156-B94D-0908CBD7ECF5}"/>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21B9E">
    <w:pPr>
      <w:pStyle w:val="280"/>
      <w:framePr w:h="223" w:hRule="exact" w:wrap="around" w:vAnchor="text" w:hAnchor="margin" w:xAlign="center" w:y="1"/>
      <w:rPr>
        <w:rStyle w:val="307"/>
        <w:rFonts w:ascii="宋体" w:hAnsi="宋体"/>
      </w:rPr>
    </w:pPr>
    <w:r>
      <w:rPr>
        <w:rFonts w:ascii="宋体" w:hAnsi="宋体"/>
      </w:rPr>
      <w:fldChar w:fldCharType="begin"/>
    </w:r>
    <w:r>
      <w:rPr>
        <w:rStyle w:val="307"/>
        <w:rFonts w:ascii="宋体" w:hAnsi="宋体"/>
      </w:rPr>
      <w:instrText xml:space="preserve">PAGE  </w:instrText>
    </w:r>
    <w:r>
      <w:rPr>
        <w:rFonts w:ascii="宋体" w:hAnsi="宋体"/>
      </w:rPr>
      <w:fldChar w:fldCharType="separate"/>
    </w:r>
    <w:r>
      <w:rPr>
        <w:rStyle w:val="307"/>
        <w:rFonts w:ascii="宋体" w:hAnsi="宋体"/>
      </w:rPr>
      <w:t>4</w:t>
    </w:r>
    <w:r>
      <w:rPr>
        <w:rFonts w:ascii="宋体" w:hAnsi="宋体"/>
      </w:rPr>
      <w:fldChar w:fldCharType="end"/>
    </w:r>
  </w:p>
  <w:p w14:paraId="45C83F5C">
    <w:pPr>
      <w:pStyle w:val="28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9E4DC">
    <w:pPr>
      <w:pStyle w:val="280"/>
      <w:framePr w:wrap="around" w:vAnchor="text" w:hAnchor="margin" w:xAlign="center" w:y="1"/>
      <w:rPr>
        <w:rStyle w:val="307"/>
      </w:rPr>
    </w:pPr>
    <w:r>
      <w:fldChar w:fldCharType="begin"/>
    </w:r>
    <w:r>
      <w:rPr>
        <w:rStyle w:val="307"/>
      </w:rPr>
      <w:instrText xml:space="preserve">PAGE  </w:instrText>
    </w:r>
    <w:r>
      <w:fldChar w:fldCharType="separate"/>
    </w:r>
    <w:r>
      <w:rPr>
        <w:rStyle w:val="307"/>
      </w:rPr>
      <w:t>1</w:t>
    </w:r>
    <w:r>
      <w:fldChar w:fldCharType="end"/>
    </w:r>
  </w:p>
  <w:p w14:paraId="381D6547">
    <w:pPr>
      <w:pStyle w:val="28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7B55A">
    <w:pPr>
      <w:pStyle w:val="28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2">
    <w:nsid w:val="59ADCABA"/>
    <w:multiLevelType w:val="multilevel"/>
    <w:tmpl w:val="59ADCABA"/>
    <w:lvl w:ilvl="0" w:tentative="0">
      <w:start w:val="1"/>
      <w:numFmt w:val="decimal"/>
      <w:pStyle w:val="33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B3010D"/>
    <w:rsid w:val="3D324AE9"/>
    <w:rsid w:val="42157464"/>
    <w:rsid w:val="46AC1EC3"/>
    <w:rsid w:val="4FBD1A41"/>
    <w:rsid w:val="568B5687"/>
    <w:rsid w:val="582A2E19"/>
    <w:rsid w:val="594A4E48"/>
    <w:rsid w:val="62402CDD"/>
    <w:rsid w:val="657823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7"/>
    <w:qFormat/>
    <w:uiPriority w:val="0"/>
    <w:pPr>
      <w:widowControl w:val="0"/>
      <w:jc w:val="both"/>
    </w:pPr>
    <w:rPr>
      <w:rFonts w:hint="default" w:ascii="Times New Roman" w:hAnsi="Times New Roman" w:eastAsia="宋体" w:cs="Times New Roman"/>
      <w:sz w:val="21"/>
      <w:szCs w:val="22"/>
    </w:rPr>
  </w:style>
  <w:style w:type="paragraph" w:styleId="5">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88"/>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92"/>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93"/>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94"/>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firstLine="420" w:firstLineChars="200"/>
    </w:pPr>
    <w:rPr>
      <w:rFonts w:ascii="宋体" w:hAnsi="宋体" w:eastAsia="宋体"/>
      <w:sz w:val="21"/>
      <w:szCs w:val="20"/>
    </w:rPr>
  </w:style>
  <w:style w:type="paragraph" w:styleId="3">
    <w:name w:val="Body Text Indent"/>
    <w:basedOn w:val="1"/>
    <w:next w:val="4"/>
    <w:qFormat/>
    <w:uiPriority w:val="0"/>
    <w:pPr>
      <w:ind w:firstLine="645"/>
    </w:pPr>
    <w:rPr>
      <w:rFonts w:ascii="楷体_GB2312" w:eastAsia="楷体_GB2312"/>
      <w:sz w:val="32"/>
      <w:szCs w:val="32"/>
    </w:rPr>
  </w:style>
  <w:style w:type="paragraph" w:styleId="4">
    <w:name w:val="envelope return"/>
    <w:basedOn w:val="1"/>
    <w:qFormat/>
    <w:uiPriority w:val="0"/>
    <w:pPr>
      <w:snapToGrid w:val="0"/>
    </w:pPr>
    <w:rPr>
      <w:rFonts w:ascii="Arial" w:hAnsi="Arial" w:eastAsia="宋体" w:cs="宋体"/>
    </w:rPr>
  </w:style>
  <w:style w:type="paragraph" w:styleId="14">
    <w:name w:val="toc 7"/>
    <w:basedOn w:val="1"/>
    <w:next w:val="1"/>
    <w:unhideWhenUsed/>
    <w:qFormat/>
    <w:uiPriority w:val="39"/>
    <w:pPr>
      <w:spacing w:after="57"/>
      <w:ind w:left="1701"/>
    </w:pPr>
  </w:style>
  <w:style w:type="paragraph" w:styleId="15">
    <w:name w:val="Normal Indent"/>
    <w:basedOn w:val="1"/>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link w:val="360"/>
    <w:qFormat/>
    <w:uiPriority w:val="99"/>
    <w:pPr>
      <w:jc w:val="left"/>
    </w:pPr>
  </w:style>
  <w:style w:type="paragraph" w:styleId="18">
    <w:name w:val="Body Text"/>
    <w:basedOn w:val="1"/>
    <w:semiHidden/>
    <w:qFormat/>
    <w:uiPriority w:val="0"/>
  </w:style>
  <w:style w:type="paragraph" w:styleId="19">
    <w:name w:val="index 4"/>
    <w:next w:val="1"/>
    <w:qFormat/>
    <w:uiPriority w:val="0"/>
    <w:pPr>
      <w:widowControl w:val="0"/>
      <w:ind w:left="600"/>
      <w:jc w:val="both"/>
    </w:pPr>
    <w:rPr>
      <w:rFonts w:hint="default" w:ascii="Times New Roman" w:hAnsi="Times New Roman" w:eastAsia="宋体" w:cs="Times New Roman"/>
      <w:sz w:val="21"/>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359"/>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233"/>
    <w:semiHidden/>
    <w:unhideWhenUsed/>
    <w:qFormat/>
    <w:uiPriority w:val="99"/>
    <w:rPr>
      <w:sz w:val="20"/>
    </w:rPr>
  </w:style>
  <w:style w:type="paragraph" w:styleId="25">
    <w:name w:val="footer"/>
    <w:basedOn w:val="1"/>
    <w:link w:val="106"/>
    <w:unhideWhenUsed/>
    <w:qFormat/>
    <w:uiPriority w:val="99"/>
    <w:pPr>
      <w:tabs>
        <w:tab w:val="center" w:pos="7143"/>
        <w:tab w:val="right" w:pos="14287"/>
      </w:tabs>
    </w:pPr>
  </w:style>
  <w:style w:type="paragraph" w:styleId="26">
    <w:name w:val="header"/>
    <w:basedOn w:val="1"/>
    <w:link w:val="104"/>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9"/>
    <w:qFormat/>
    <w:uiPriority w:val="11"/>
    <w:pPr>
      <w:spacing w:before="200" w:after="200"/>
    </w:pPr>
    <w:rPr>
      <w:sz w:val="24"/>
      <w:szCs w:val="24"/>
    </w:rPr>
  </w:style>
  <w:style w:type="paragraph" w:styleId="30">
    <w:name w:val="footnote text"/>
    <w:basedOn w:val="1"/>
    <w:link w:val="232"/>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List Continue 2"/>
    <w:basedOn w:val="1"/>
    <w:next w:val="1"/>
    <w:qFormat/>
    <w:uiPriority w:val="0"/>
    <w:pPr>
      <w:spacing w:after="120"/>
      <w:ind w:left="840"/>
    </w:p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98"/>
    <w:qFormat/>
    <w:uiPriority w:val="10"/>
    <w:pPr>
      <w:spacing w:before="300" w:after="200"/>
      <w:contextualSpacing/>
    </w:pPr>
    <w:rPr>
      <w:sz w:val="48"/>
      <w:szCs w:val="48"/>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Heading 1 Char"/>
    <w:basedOn w:val="40"/>
    <w:qFormat/>
    <w:uiPriority w:val="9"/>
    <w:rPr>
      <w:rFonts w:ascii="Arial" w:hAnsi="Arial" w:eastAsia="Arial" w:cs="Arial"/>
      <w:sz w:val="40"/>
      <w:szCs w:val="40"/>
    </w:rPr>
  </w:style>
  <w:style w:type="character" w:customStyle="1" w:styleId="46">
    <w:name w:val="Heading 2 Char"/>
    <w:basedOn w:val="40"/>
    <w:qFormat/>
    <w:uiPriority w:val="9"/>
    <w:rPr>
      <w:rFonts w:ascii="Arial" w:hAnsi="Arial" w:eastAsia="Arial" w:cs="Arial"/>
      <w:sz w:val="34"/>
    </w:rPr>
  </w:style>
  <w:style w:type="character" w:customStyle="1" w:styleId="47">
    <w:name w:val="Heading 3 Char"/>
    <w:basedOn w:val="40"/>
    <w:qFormat/>
    <w:uiPriority w:val="9"/>
    <w:rPr>
      <w:rFonts w:ascii="Arial" w:hAnsi="Arial" w:eastAsia="Arial" w:cs="Arial"/>
      <w:sz w:val="30"/>
      <w:szCs w:val="30"/>
    </w:rPr>
  </w:style>
  <w:style w:type="character" w:customStyle="1" w:styleId="48">
    <w:name w:val="Heading 4 Char"/>
    <w:basedOn w:val="40"/>
    <w:qFormat/>
    <w:uiPriority w:val="9"/>
    <w:rPr>
      <w:rFonts w:ascii="Arial" w:hAnsi="Arial" w:eastAsia="Arial" w:cs="Arial"/>
      <w:b/>
      <w:bCs/>
      <w:sz w:val="26"/>
      <w:szCs w:val="26"/>
    </w:rPr>
  </w:style>
  <w:style w:type="character" w:customStyle="1" w:styleId="49">
    <w:name w:val="Heading 5 Char"/>
    <w:basedOn w:val="40"/>
    <w:qFormat/>
    <w:uiPriority w:val="9"/>
    <w:rPr>
      <w:rFonts w:ascii="Arial" w:hAnsi="Arial" w:eastAsia="Arial" w:cs="Arial"/>
      <w:b/>
      <w:bCs/>
      <w:sz w:val="24"/>
      <w:szCs w:val="24"/>
    </w:rPr>
  </w:style>
  <w:style w:type="character" w:customStyle="1" w:styleId="50">
    <w:name w:val="Heading 6 Char"/>
    <w:basedOn w:val="40"/>
    <w:qFormat/>
    <w:uiPriority w:val="9"/>
    <w:rPr>
      <w:rFonts w:ascii="Arial" w:hAnsi="Arial" w:eastAsia="Arial" w:cs="Arial"/>
      <w:b/>
      <w:bCs/>
      <w:sz w:val="22"/>
      <w:szCs w:val="22"/>
    </w:rPr>
  </w:style>
  <w:style w:type="character" w:customStyle="1" w:styleId="51">
    <w:name w:val="Heading 7 Char"/>
    <w:basedOn w:val="40"/>
    <w:qFormat/>
    <w:uiPriority w:val="9"/>
    <w:rPr>
      <w:rFonts w:ascii="Arial" w:hAnsi="Arial" w:eastAsia="Arial" w:cs="Arial"/>
      <w:b/>
      <w:bCs/>
      <w:i/>
      <w:iCs/>
      <w:sz w:val="22"/>
      <w:szCs w:val="22"/>
    </w:rPr>
  </w:style>
  <w:style w:type="character" w:customStyle="1" w:styleId="52">
    <w:name w:val="Heading 8 Char"/>
    <w:basedOn w:val="40"/>
    <w:qFormat/>
    <w:uiPriority w:val="9"/>
    <w:rPr>
      <w:rFonts w:ascii="Arial" w:hAnsi="Arial" w:eastAsia="Arial" w:cs="Arial"/>
      <w:i/>
      <w:iCs/>
      <w:sz w:val="22"/>
      <w:szCs w:val="22"/>
    </w:rPr>
  </w:style>
  <w:style w:type="character" w:customStyle="1" w:styleId="53">
    <w:name w:val="Heading 9 Char"/>
    <w:basedOn w:val="40"/>
    <w:qFormat/>
    <w:uiPriority w:val="9"/>
    <w:rPr>
      <w:rFonts w:ascii="Arial" w:hAnsi="Arial" w:eastAsia="Arial" w:cs="Arial"/>
      <w:i/>
      <w:iCs/>
      <w:sz w:val="21"/>
      <w:szCs w:val="21"/>
    </w:rPr>
  </w:style>
  <w:style w:type="character" w:customStyle="1" w:styleId="54">
    <w:name w:val="Title Char"/>
    <w:basedOn w:val="40"/>
    <w:qFormat/>
    <w:uiPriority w:val="10"/>
    <w:rPr>
      <w:sz w:val="48"/>
      <w:szCs w:val="48"/>
    </w:rPr>
  </w:style>
  <w:style w:type="character" w:customStyle="1" w:styleId="55">
    <w:name w:val="Subtitle Char"/>
    <w:basedOn w:val="40"/>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40"/>
    <w:qFormat/>
    <w:uiPriority w:val="99"/>
  </w:style>
  <w:style w:type="character" w:customStyle="1" w:styleId="59">
    <w:name w:val="Caption Char"/>
    <w:qFormat/>
    <w:uiPriority w:val="99"/>
  </w:style>
  <w:style w:type="table" w:customStyle="1" w:styleId="60">
    <w:name w:val="Plain Table 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标题 411"/>
    <w:basedOn w:val="1"/>
    <w:next w:val="1"/>
    <w:unhideWhenUsed/>
    <w:qFormat/>
    <w:uiPriority w:val="9"/>
    <w:pPr>
      <w:keepNext/>
      <w:keepLines/>
      <w:spacing w:before="320" w:after="200" w:line="360" w:lineRule="auto"/>
      <w:ind w:firstLine="200"/>
      <w:outlineLvl w:val="3"/>
    </w:pPr>
    <w:rPr>
      <w:b/>
      <w:bCs/>
      <w:color w:val="000000"/>
      <w:sz w:val="26"/>
      <w:szCs w:val="26"/>
    </w:rPr>
  </w:style>
  <w:style w:type="character" w:customStyle="1" w:styleId="83">
    <w:name w:val="标题 2 Char"/>
    <w:link w:val="84"/>
    <w:qFormat/>
    <w:uiPriority w:val="0"/>
    <w:rPr>
      <w:rFonts w:ascii="Arial" w:hAnsi="Arial" w:eastAsia="幼圆" w:cs="Arial"/>
      <w:b/>
      <w:bCs/>
      <w:sz w:val="44"/>
      <w:szCs w:val="44"/>
    </w:rPr>
  </w:style>
  <w:style w:type="paragraph" w:customStyle="1" w:styleId="84">
    <w:name w:val="标题 21"/>
    <w:basedOn w:val="1"/>
    <w:next w:val="85"/>
    <w:link w:val="8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85">
    <w:name w:val="正文缩进1"/>
    <w:basedOn w:val="1"/>
    <w:link w:val="247"/>
    <w:qFormat/>
    <w:uiPriority w:val="0"/>
    <w:pPr>
      <w:ind w:firstLine="420"/>
    </w:pPr>
    <w:rPr>
      <w:szCs w:val="21"/>
    </w:rPr>
  </w:style>
  <w:style w:type="paragraph" w:customStyle="1" w:styleId="86">
    <w:name w:val="首行缩进"/>
    <w:basedOn w:val="1"/>
    <w:qFormat/>
    <w:uiPriority w:val="99"/>
    <w:pPr>
      <w:spacing w:line="360" w:lineRule="auto"/>
      <w:ind w:firstLine="480"/>
      <w:jc w:val="left"/>
    </w:pPr>
    <w:rPr>
      <w:rFonts w:ascii="宋体" w:hAnsi="宋体"/>
      <w:sz w:val="24"/>
      <w:szCs w:val="24"/>
    </w:rPr>
  </w:style>
  <w:style w:type="character" w:customStyle="1" w:styleId="87">
    <w:name w:val="标题 1 Char1"/>
    <w:link w:val="5"/>
    <w:qFormat/>
    <w:uiPriority w:val="9"/>
    <w:rPr>
      <w:rFonts w:ascii="Arial" w:hAnsi="Arial" w:eastAsia="Arial" w:cs="Arial"/>
      <w:sz w:val="40"/>
      <w:szCs w:val="40"/>
    </w:rPr>
  </w:style>
  <w:style w:type="character" w:customStyle="1" w:styleId="88">
    <w:name w:val="标题 2 Char1"/>
    <w:link w:val="6"/>
    <w:qFormat/>
    <w:uiPriority w:val="9"/>
    <w:rPr>
      <w:rFonts w:ascii="Arial" w:hAnsi="Arial" w:eastAsia="Arial" w:cs="Arial"/>
      <w:sz w:val="34"/>
    </w:rPr>
  </w:style>
  <w:style w:type="character" w:customStyle="1" w:styleId="89">
    <w:name w:val="标题 3 Char1"/>
    <w:link w:val="7"/>
    <w:qFormat/>
    <w:uiPriority w:val="9"/>
    <w:rPr>
      <w:rFonts w:ascii="Arial" w:hAnsi="Arial" w:eastAsia="Arial" w:cs="Arial"/>
      <w:sz w:val="30"/>
      <w:szCs w:val="30"/>
    </w:rPr>
  </w:style>
  <w:style w:type="character" w:customStyle="1" w:styleId="90">
    <w:name w:val="标题 4 Char1"/>
    <w:link w:val="8"/>
    <w:qFormat/>
    <w:uiPriority w:val="9"/>
    <w:rPr>
      <w:rFonts w:ascii="Arial" w:hAnsi="Arial" w:eastAsia="Arial" w:cs="Arial"/>
      <w:b/>
      <w:bCs/>
      <w:sz w:val="26"/>
      <w:szCs w:val="26"/>
    </w:rPr>
  </w:style>
  <w:style w:type="character" w:customStyle="1" w:styleId="91">
    <w:name w:val="标题 5 Char1"/>
    <w:link w:val="9"/>
    <w:qFormat/>
    <w:uiPriority w:val="9"/>
    <w:rPr>
      <w:rFonts w:ascii="Arial" w:hAnsi="Arial" w:eastAsia="Arial" w:cs="Arial"/>
      <w:b/>
      <w:bCs/>
      <w:sz w:val="24"/>
      <w:szCs w:val="24"/>
    </w:rPr>
  </w:style>
  <w:style w:type="character" w:customStyle="1" w:styleId="92">
    <w:name w:val="标题 6 Char1"/>
    <w:link w:val="10"/>
    <w:qFormat/>
    <w:uiPriority w:val="9"/>
    <w:rPr>
      <w:rFonts w:ascii="Arial" w:hAnsi="Arial" w:eastAsia="Arial" w:cs="Arial"/>
      <w:b/>
      <w:bCs/>
      <w:sz w:val="22"/>
      <w:szCs w:val="22"/>
    </w:rPr>
  </w:style>
  <w:style w:type="character" w:customStyle="1" w:styleId="93">
    <w:name w:val="标题 7 Char1"/>
    <w:link w:val="11"/>
    <w:qFormat/>
    <w:uiPriority w:val="9"/>
    <w:rPr>
      <w:rFonts w:ascii="Arial" w:hAnsi="Arial" w:eastAsia="Arial" w:cs="Arial"/>
      <w:b/>
      <w:bCs/>
      <w:i/>
      <w:iCs/>
      <w:sz w:val="22"/>
      <w:szCs w:val="22"/>
    </w:rPr>
  </w:style>
  <w:style w:type="character" w:customStyle="1" w:styleId="94">
    <w:name w:val="标题 8 Char1"/>
    <w:link w:val="12"/>
    <w:qFormat/>
    <w:uiPriority w:val="9"/>
    <w:rPr>
      <w:rFonts w:ascii="Arial" w:hAnsi="Arial" w:eastAsia="Arial" w:cs="Arial"/>
      <w:i/>
      <w:iCs/>
      <w:sz w:val="22"/>
      <w:szCs w:val="22"/>
    </w:rPr>
  </w:style>
  <w:style w:type="character" w:customStyle="1" w:styleId="95">
    <w:name w:val="标题 9 Char1"/>
    <w:link w:val="13"/>
    <w:qFormat/>
    <w:uiPriority w:val="9"/>
    <w:rPr>
      <w:rFonts w:ascii="Arial" w:hAnsi="Arial" w:eastAsia="Arial" w:cs="Arial"/>
      <w:i/>
      <w:iCs/>
      <w:sz w:val="21"/>
      <w:szCs w:val="21"/>
    </w:rPr>
  </w:style>
  <w:style w:type="paragraph" w:styleId="96">
    <w:name w:val="List Paragraph"/>
    <w:basedOn w:val="1"/>
    <w:qFormat/>
    <w:uiPriority w:val="34"/>
    <w:pPr>
      <w:ind w:left="720"/>
      <w:contextualSpacing/>
    </w:pPr>
  </w:style>
  <w:style w:type="paragraph" w:styleId="97">
    <w:name w:val="No Spacing"/>
    <w:qFormat/>
    <w:uiPriority w:val="1"/>
    <w:rPr>
      <w:rFonts w:hint="default" w:ascii="Times New Roman" w:hAnsi="Times New Roman" w:eastAsia="宋体" w:cs="Times New Roman"/>
    </w:rPr>
  </w:style>
  <w:style w:type="character" w:customStyle="1" w:styleId="98">
    <w:name w:val="标题 Char"/>
    <w:link w:val="37"/>
    <w:qFormat/>
    <w:uiPriority w:val="10"/>
    <w:rPr>
      <w:sz w:val="48"/>
      <w:szCs w:val="48"/>
    </w:rPr>
  </w:style>
  <w:style w:type="character" w:customStyle="1" w:styleId="99">
    <w:name w:val="副标题 Char"/>
    <w:link w:val="29"/>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Char"/>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页眉 Char1"/>
    <w:link w:val="26"/>
    <w:qFormat/>
    <w:uiPriority w:val="99"/>
  </w:style>
  <w:style w:type="character" w:customStyle="1" w:styleId="105">
    <w:name w:val="Footer Char"/>
    <w:qFormat/>
    <w:uiPriority w:val="99"/>
  </w:style>
  <w:style w:type="character" w:customStyle="1" w:styleId="106">
    <w:name w:val="页脚 Char1"/>
    <w:link w:val="25"/>
    <w:qFormat/>
    <w:uiPriority w:val="99"/>
  </w:style>
  <w:style w:type="table" w:customStyle="1" w:styleId="10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Char"/>
    <w:link w:val="30"/>
    <w:qFormat/>
    <w:uiPriority w:val="99"/>
    <w:rPr>
      <w:sz w:val="18"/>
    </w:rPr>
  </w:style>
  <w:style w:type="character" w:customStyle="1" w:styleId="233">
    <w:name w:val="尾注文本 Char"/>
    <w:link w:val="24"/>
    <w:qFormat/>
    <w:uiPriority w:val="99"/>
    <w:rPr>
      <w:sz w:val="20"/>
    </w:rPr>
  </w:style>
  <w:style w:type="paragraph" w:customStyle="1" w:styleId="234">
    <w:name w:val="TOC 标题1"/>
    <w:unhideWhenUsed/>
    <w:qFormat/>
    <w:uiPriority w:val="39"/>
    <w:rPr>
      <w:rFonts w:hint="default" w:ascii="Times New Roman" w:hAnsi="Times New Roman" w:eastAsia="宋体" w:cs="Times New Roman"/>
    </w:rPr>
  </w:style>
  <w:style w:type="paragraph" w:customStyle="1" w:styleId="235">
    <w:name w:val="标题 11"/>
    <w:basedOn w:val="1"/>
    <w:next w:val="1"/>
    <w:link w:val="246"/>
    <w:qFormat/>
    <w:uiPriority w:val="0"/>
    <w:pPr>
      <w:keepNext/>
      <w:jc w:val="center"/>
      <w:outlineLvl w:val="0"/>
    </w:pPr>
    <w:rPr>
      <w:rFonts w:ascii="楷体_GB2312" w:eastAsia="楷体_GB2312"/>
      <w:sz w:val="28"/>
      <w:szCs w:val="28"/>
    </w:rPr>
  </w:style>
  <w:style w:type="paragraph" w:customStyle="1" w:styleId="236">
    <w:name w:val="标题 31"/>
    <w:basedOn w:val="1"/>
    <w:next w:val="85"/>
    <w:link w:val="248"/>
    <w:qFormat/>
    <w:uiPriority w:val="0"/>
    <w:pPr>
      <w:keepNext/>
      <w:keepLines/>
      <w:spacing w:before="260" w:after="260" w:line="416" w:lineRule="auto"/>
      <w:outlineLvl w:val="2"/>
    </w:pPr>
    <w:rPr>
      <w:b/>
      <w:bCs/>
      <w:sz w:val="32"/>
      <w:szCs w:val="32"/>
    </w:rPr>
  </w:style>
  <w:style w:type="paragraph" w:customStyle="1" w:styleId="237">
    <w:name w:val="标题 41"/>
    <w:basedOn w:val="1"/>
    <w:next w:val="85"/>
    <w:link w:val="24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8">
    <w:name w:val="标题 51"/>
    <w:basedOn w:val="1"/>
    <w:next w:val="85"/>
    <w:link w:val="250"/>
    <w:qFormat/>
    <w:uiPriority w:val="0"/>
    <w:pPr>
      <w:keepNext/>
      <w:outlineLvl w:val="4"/>
    </w:pPr>
    <w:rPr>
      <w:rFonts w:ascii="宋体"/>
      <w:color w:val="000000"/>
      <w:sz w:val="28"/>
      <w:szCs w:val="28"/>
    </w:rPr>
  </w:style>
  <w:style w:type="paragraph" w:customStyle="1" w:styleId="239">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40">
    <w:name w:val="标题 71"/>
    <w:basedOn w:val="1"/>
    <w:next w:val="1"/>
    <w:link w:val="252"/>
    <w:qFormat/>
    <w:uiPriority w:val="0"/>
    <w:pPr>
      <w:keepNext/>
      <w:keepLines/>
      <w:numPr>
        <w:ilvl w:val="6"/>
        <w:numId w:val="1"/>
      </w:numPr>
      <w:spacing w:before="240" w:after="64" w:line="320" w:lineRule="auto"/>
      <w:outlineLvl w:val="6"/>
    </w:pPr>
    <w:rPr>
      <w:b/>
      <w:bCs/>
      <w:sz w:val="24"/>
      <w:szCs w:val="24"/>
    </w:rPr>
  </w:style>
  <w:style w:type="paragraph" w:customStyle="1" w:styleId="241">
    <w:name w:val="标题 81"/>
    <w:basedOn w:val="1"/>
    <w:next w:val="1"/>
    <w:link w:val="25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42">
    <w:name w:val="标题 91"/>
    <w:basedOn w:val="1"/>
    <w:next w:val="1"/>
    <w:link w:val="25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43">
    <w:name w:val="默认段落字体1"/>
    <w:unhideWhenUsed/>
    <w:qFormat/>
    <w:uiPriority w:val="1"/>
  </w:style>
  <w:style w:type="table" w:customStyle="1" w:styleId="244">
    <w:name w:val="普通表格11"/>
    <w:unhideWhenUsed/>
    <w:qFormat/>
    <w:uiPriority w:val="99"/>
    <w:tblPr>
      <w:tblCellMar>
        <w:top w:w="0" w:type="dxa"/>
        <w:left w:w="0" w:type="dxa"/>
        <w:bottom w:w="0" w:type="dxa"/>
        <w:right w:w="0" w:type="dxa"/>
      </w:tblCellMar>
    </w:tblPr>
  </w:style>
  <w:style w:type="paragraph" w:customStyle="1" w:styleId="245">
    <w:name w:val="索引 41"/>
    <w:basedOn w:val="1"/>
    <w:next w:val="1"/>
    <w:semiHidden/>
    <w:qFormat/>
    <w:uiPriority w:val="0"/>
    <w:pPr>
      <w:ind w:left="1260"/>
    </w:pPr>
    <w:rPr>
      <w:rFonts w:ascii="Calibri" w:hAnsi="Calibri" w:eastAsia="Calibri" w:cs="宋体"/>
      <w:sz w:val="20"/>
      <w:lang w:val="zh-CN"/>
    </w:rPr>
  </w:style>
  <w:style w:type="character" w:customStyle="1" w:styleId="246">
    <w:name w:val="标题 1 Char"/>
    <w:link w:val="235"/>
    <w:qFormat/>
    <w:uiPriority w:val="0"/>
    <w:rPr>
      <w:rFonts w:ascii="楷体_GB2312" w:hAnsi="Times New Roman" w:eastAsia="楷体_GB2312" w:cs="Times New Roman"/>
      <w:sz w:val="28"/>
      <w:szCs w:val="28"/>
    </w:rPr>
  </w:style>
  <w:style w:type="character" w:customStyle="1" w:styleId="247">
    <w:name w:val="正文缩进 Char"/>
    <w:link w:val="85"/>
    <w:qFormat/>
    <w:uiPriority w:val="0"/>
    <w:rPr>
      <w:szCs w:val="21"/>
    </w:rPr>
  </w:style>
  <w:style w:type="character" w:customStyle="1" w:styleId="248">
    <w:name w:val="标题 3 Char"/>
    <w:link w:val="236"/>
    <w:qFormat/>
    <w:uiPriority w:val="0"/>
    <w:rPr>
      <w:rFonts w:ascii="Times New Roman" w:hAnsi="Times New Roman" w:eastAsia="宋体" w:cs="Times New Roman"/>
      <w:b/>
      <w:bCs/>
      <w:sz w:val="32"/>
      <w:szCs w:val="32"/>
    </w:rPr>
  </w:style>
  <w:style w:type="character" w:customStyle="1" w:styleId="249">
    <w:name w:val="标题 4 Char"/>
    <w:link w:val="237"/>
    <w:qFormat/>
    <w:uiPriority w:val="0"/>
    <w:rPr>
      <w:rFonts w:ascii="Arial" w:hAnsi="Arial" w:eastAsia="黑体" w:cs="Arial"/>
      <w:b/>
      <w:bCs/>
      <w:sz w:val="28"/>
      <w:szCs w:val="28"/>
    </w:rPr>
  </w:style>
  <w:style w:type="character" w:customStyle="1" w:styleId="250">
    <w:name w:val="标题 5 Char"/>
    <w:link w:val="238"/>
    <w:qFormat/>
    <w:uiPriority w:val="0"/>
    <w:rPr>
      <w:rFonts w:ascii="宋体" w:hAnsi="Times New Roman" w:eastAsia="宋体" w:cs="Times New Roman"/>
      <w:color w:val="000000"/>
      <w:sz w:val="28"/>
      <w:szCs w:val="28"/>
    </w:rPr>
  </w:style>
  <w:style w:type="character" w:customStyle="1" w:styleId="251">
    <w:name w:val="标题 6 Char"/>
    <w:link w:val="239"/>
    <w:qFormat/>
    <w:uiPriority w:val="0"/>
    <w:rPr>
      <w:rFonts w:ascii="Arial" w:hAnsi="Arial" w:eastAsia="黑体" w:cs="Times New Roman"/>
      <w:b/>
      <w:bCs/>
      <w:sz w:val="24"/>
      <w:szCs w:val="24"/>
    </w:rPr>
  </w:style>
  <w:style w:type="character" w:customStyle="1" w:styleId="252">
    <w:name w:val="标题 7 Char"/>
    <w:link w:val="240"/>
    <w:qFormat/>
    <w:uiPriority w:val="0"/>
    <w:rPr>
      <w:rFonts w:ascii="Times New Roman" w:hAnsi="Times New Roman" w:eastAsia="宋体" w:cs="Times New Roman"/>
      <w:b/>
      <w:bCs/>
      <w:sz w:val="24"/>
      <w:szCs w:val="24"/>
    </w:rPr>
  </w:style>
  <w:style w:type="character" w:customStyle="1" w:styleId="253">
    <w:name w:val="标题 8 Char"/>
    <w:link w:val="241"/>
    <w:qFormat/>
    <w:uiPriority w:val="0"/>
    <w:rPr>
      <w:rFonts w:ascii="Arial" w:hAnsi="Arial" w:eastAsia="黑体" w:cs="Times New Roman"/>
      <w:sz w:val="24"/>
      <w:szCs w:val="24"/>
    </w:rPr>
  </w:style>
  <w:style w:type="character" w:customStyle="1" w:styleId="254">
    <w:name w:val="标题 9 Char"/>
    <w:link w:val="242"/>
    <w:qFormat/>
    <w:uiPriority w:val="0"/>
    <w:rPr>
      <w:rFonts w:ascii="Arial" w:hAnsi="Arial" w:eastAsia="黑体" w:cs="Times New Roman"/>
      <w:szCs w:val="21"/>
    </w:rPr>
  </w:style>
  <w:style w:type="paragraph" w:customStyle="1" w:styleId="255">
    <w:name w:val="列表 31"/>
    <w:basedOn w:val="1"/>
    <w:qFormat/>
    <w:uiPriority w:val="0"/>
    <w:pPr>
      <w:ind w:left="100" w:hanging="200"/>
    </w:pPr>
    <w:rPr>
      <w:szCs w:val="21"/>
    </w:rPr>
  </w:style>
  <w:style w:type="paragraph" w:customStyle="1" w:styleId="256">
    <w:name w:val="目录 71"/>
    <w:basedOn w:val="1"/>
    <w:next w:val="1"/>
    <w:semiHidden/>
    <w:qFormat/>
    <w:uiPriority w:val="0"/>
    <w:pPr>
      <w:ind w:left="1260"/>
      <w:jc w:val="left"/>
    </w:pPr>
    <w:rPr>
      <w:szCs w:val="21"/>
    </w:rPr>
  </w:style>
  <w:style w:type="paragraph" w:customStyle="1" w:styleId="257">
    <w:name w:val="文档结构图1"/>
    <w:basedOn w:val="1"/>
    <w:link w:val="258"/>
    <w:semiHidden/>
    <w:qFormat/>
    <w:uiPriority w:val="0"/>
    <w:pPr>
      <w:shd w:val="clear" w:color="auto" w:fill="000080"/>
    </w:pPr>
    <w:rPr>
      <w:szCs w:val="21"/>
    </w:rPr>
  </w:style>
  <w:style w:type="character" w:customStyle="1" w:styleId="258">
    <w:name w:val="文档结构图 Char"/>
    <w:link w:val="257"/>
    <w:semiHidden/>
    <w:qFormat/>
    <w:uiPriority w:val="0"/>
    <w:rPr>
      <w:rFonts w:ascii="Times New Roman" w:hAnsi="Times New Roman" w:eastAsia="宋体" w:cs="Times New Roman"/>
      <w:szCs w:val="21"/>
      <w:shd w:val="clear" w:color="auto" w:fill="000080"/>
    </w:rPr>
  </w:style>
  <w:style w:type="paragraph" w:customStyle="1" w:styleId="259">
    <w:name w:val="批注文字1"/>
    <w:basedOn w:val="1"/>
    <w:link w:val="260"/>
    <w:unhideWhenUsed/>
    <w:qFormat/>
    <w:uiPriority w:val="0"/>
    <w:pPr>
      <w:jc w:val="left"/>
    </w:pPr>
  </w:style>
  <w:style w:type="character" w:customStyle="1" w:styleId="260">
    <w:name w:val="批注文字 Char"/>
    <w:basedOn w:val="243"/>
    <w:link w:val="259"/>
    <w:semiHidden/>
    <w:qFormat/>
    <w:uiPriority w:val="99"/>
  </w:style>
  <w:style w:type="paragraph" w:customStyle="1" w:styleId="261">
    <w:name w:val="正文文本 31"/>
    <w:basedOn w:val="1"/>
    <w:link w:val="262"/>
    <w:qFormat/>
    <w:uiPriority w:val="0"/>
    <w:rPr>
      <w:rFonts w:ascii="仿宋_GB2312" w:hAnsi="Arial" w:eastAsia="仿宋_GB2312"/>
      <w:sz w:val="32"/>
      <w:szCs w:val="32"/>
    </w:rPr>
  </w:style>
  <w:style w:type="character" w:customStyle="1" w:styleId="262">
    <w:name w:val="正文文本 3 Char"/>
    <w:link w:val="261"/>
    <w:qFormat/>
    <w:uiPriority w:val="0"/>
    <w:rPr>
      <w:rFonts w:ascii="仿宋_GB2312" w:hAnsi="Arial" w:eastAsia="仿宋_GB2312" w:cs="Times New Roman"/>
      <w:sz w:val="32"/>
      <w:szCs w:val="32"/>
    </w:rPr>
  </w:style>
  <w:style w:type="paragraph" w:customStyle="1" w:styleId="263">
    <w:name w:val="正文文本11"/>
    <w:basedOn w:val="1"/>
    <w:link w:val="264"/>
    <w:qFormat/>
    <w:uiPriority w:val="0"/>
    <w:rPr>
      <w:rFonts w:ascii="楷体_GB2312" w:hAnsi="Arial" w:eastAsia="楷体_GB2312"/>
      <w:sz w:val="28"/>
      <w:szCs w:val="28"/>
    </w:rPr>
  </w:style>
  <w:style w:type="character" w:customStyle="1" w:styleId="264">
    <w:name w:val="正文文本 Char"/>
    <w:link w:val="263"/>
    <w:qFormat/>
    <w:uiPriority w:val="0"/>
    <w:rPr>
      <w:rFonts w:ascii="楷体_GB2312" w:hAnsi="Arial" w:eastAsia="楷体_GB2312" w:cs="Times New Roman"/>
      <w:sz w:val="28"/>
      <w:szCs w:val="28"/>
    </w:rPr>
  </w:style>
  <w:style w:type="paragraph" w:customStyle="1" w:styleId="265">
    <w:name w:val="正文文本缩进1"/>
    <w:basedOn w:val="1"/>
    <w:link w:val="266"/>
    <w:unhideWhenUsed/>
    <w:qFormat/>
    <w:uiPriority w:val="0"/>
    <w:pPr>
      <w:spacing w:after="120"/>
      <w:ind w:left="420"/>
    </w:pPr>
  </w:style>
  <w:style w:type="character" w:customStyle="1" w:styleId="266">
    <w:name w:val="正文文本缩进 Char"/>
    <w:basedOn w:val="243"/>
    <w:link w:val="265"/>
    <w:semiHidden/>
    <w:qFormat/>
    <w:uiPriority w:val="99"/>
  </w:style>
  <w:style w:type="paragraph" w:customStyle="1" w:styleId="267">
    <w:name w:val="列表 21"/>
    <w:basedOn w:val="1"/>
    <w:qFormat/>
    <w:uiPriority w:val="0"/>
    <w:pPr>
      <w:ind w:left="100" w:hanging="200"/>
    </w:pPr>
    <w:rPr>
      <w:szCs w:val="21"/>
    </w:rPr>
  </w:style>
  <w:style w:type="paragraph" w:customStyle="1" w:styleId="268">
    <w:name w:val="索引 42"/>
    <w:basedOn w:val="1"/>
    <w:next w:val="1"/>
    <w:semiHidden/>
    <w:qFormat/>
    <w:uiPriority w:val="0"/>
    <w:pPr>
      <w:ind w:left="1260"/>
    </w:pPr>
    <w:rPr>
      <w:rFonts w:ascii="Calibri" w:hAnsi="Calibri" w:eastAsia="Calibri" w:cs="宋体"/>
      <w:sz w:val="20"/>
      <w:lang w:val="zh-CN"/>
    </w:rPr>
  </w:style>
  <w:style w:type="paragraph" w:customStyle="1" w:styleId="269">
    <w:name w:val="目录 51"/>
    <w:basedOn w:val="1"/>
    <w:next w:val="1"/>
    <w:semiHidden/>
    <w:qFormat/>
    <w:uiPriority w:val="0"/>
    <w:pPr>
      <w:ind w:left="840"/>
      <w:jc w:val="left"/>
    </w:pPr>
    <w:rPr>
      <w:szCs w:val="21"/>
    </w:rPr>
  </w:style>
  <w:style w:type="paragraph" w:customStyle="1" w:styleId="270">
    <w:name w:val="目录 31"/>
    <w:basedOn w:val="1"/>
    <w:next w:val="1"/>
    <w:semiHidden/>
    <w:qFormat/>
    <w:uiPriority w:val="0"/>
    <w:pPr>
      <w:ind w:left="420"/>
      <w:jc w:val="left"/>
    </w:pPr>
    <w:rPr>
      <w:i/>
      <w:iCs/>
      <w:szCs w:val="24"/>
    </w:rPr>
  </w:style>
  <w:style w:type="paragraph" w:customStyle="1" w:styleId="271">
    <w:name w:val="纯文本1"/>
    <w:basedOn w:val="1"/>
    <w:link w:val="272"/>
    <w:qFormat/>
    <w:uiPriority w:val="0"/>
    <w:rPr>
      <w:rFonts w:ascii="宋体" w:hAnsi="Courier New" w:cs="Courier New"/>
      <w:szCs w:val="21"/>
    </w:rPr>
  </w:style>
  <w:style w:type="character" w:customStyle="1" w:styleId="272">
    <w:name w:val="纯文本 Char"/>
    <w:link w:val="271"/>
    <w:qFormat/>
    <w:uiPriority w:val="0"/>
    <w:rPr>
      <w:rFonts w:ascii="宋体" w:hAnsi="Courier New" w:eastAsia="宋体" w:cs="Courier New"/>
      <w:szCs w:val="21"/>
    </w:rPr>
  </w:style>
  <w:style w:type="paragraph" w:customStyle="1" w:styleId="273">
    <w:name w:val="目录 81"/>
    <w:basedOn w:val="1"/>
    <w:next w:val="1"/>
    <w:semiHidden/>
    <w:qFormat/>
    <w:uiPriority w:val="0"/>
    <w:pPr>
      <w:ind w:left="1470"/>
      <w:jc w:val="left"/>
    </w:pPr>
    <w:rPr>
      <w:szCs w:val="21"/>
    </w:rPr>
  </w:style>
  <w:style w:type="paragraph" w:customStyle="1" w:styleId="274">
    <w:name w:val="日期1"/>
    <w:basedOn w:val="1"/>
    <w:next w:val="1"/>
    <w:link w:val="275"/>
    <w:qFormat/>
    <w:uiPriority w:val="0"/>
    <w:rPr>
      <w:sz w:val="24"/>
      <w:szCs w:val="24"/>
    </w:rPr>
  </w:style>
  <w:style w:type="character" w:customStyle="1" w:styleId="275">
    <w:name w:val="日期 Char"/>
    <w:link w:val="274"/>
    <w:qFormat/>
    <w:uiPriority w:val="0"/>
    <w:rPr>
      <w:rFonts w:ascii="Times New Roman" w:hAnsi="Times New Roman" w:eastAsia="宋体" w:cs="Times New Roman"/>
      <w:sz w:val="24"/>
      <w:szCs w:val="24"/>
    </w:rPr>
  </w:style>
  <w:style w:type="paragraph" w:customStyle="1" w:styleId="276">
    <w:name w:val="正文文本缩进 21"/>
    <w:basedOn w:val="1"/>
    <w:link w:val="277"/>
    <w:qFormat/>
    <w:uiPriority w:val="0"/>
    <w:pPr>
      <w:ind w:left="630" w:firstLine="645"/>
    </w:pPr>
    <w:rPr>
      <w:rFonts w:ascii="Arial" w:hAnsi="Arial" w:eastAsia="仿宋_GB2312" w:cs="Arial"/>
      <w:sz w:val="32"/>
      <w:szCs w:val="32"/>
    </w:rPr>
  </w:style>
  <w:style w:type="character" w:customStyle="1" w:styleId="277">
    <w:name w:val="正文文本缩进 2 Char"/>
    <w:link w:val="276"/>
    <w:qFormat/>
    <w:uiPriority w:val="0"/>
    <w:rPr>
      <w:rFonts w:ascii="Arial" w:hAnsi="Arial" w:eastAsia="仿宋_GB2312" w:cs="Arial"/>
      <w:sz w:val="32"/>
      <w:szCs w:val="32"/>
    </w:rPr>
  </w:style>
  <w:style w:type="paragraph" w:customStyle="1" w:styleId="278">
    <w:name w:val="批注框文本1"/>
    <w:basedOn w:val="1"/>
    <w:link w:val="279"/>
    <w:semiHidden/>
    <w:qFormat/>
    <w:uiPriority w:val="0"/>
    <w:rPr>
      <w:sz w:val="18"/>
      <w:szCs w:val="18"/>
    </w:rPr>
  </w:style>
  <w:style w:type="character" w:customStyle="1" w:styleId="279">
    <w:name w:val="批注框文本 Char"/>
    <w:link w:val="278"/>
    <w:semiHidden/>
    <w:qFormat/>
    <w:uiPriority w:val="0"/>
    <w:rPr>
      <w:rFonts w:ascii="Times New Roman" w:hAnsi="Times New Roman" w:eastAsia="宋体" w:cs="Times New Roman"/>
      <w:sz w:val="18"/>
      <w:szCs w:val="18"/>
    </w:rPr>
  </w:style>
  <w:style w:type="paragraph" w:customStyle="1" w:styleId="280">
    <w:name w:val="页脚1"/>
    <w:basedOn w:val="1"/>
    <w:link w:val="281"/>
    <w:qFormat/>
    <w:uiPriority w:val="0"/>
    <w:pPr>
      <w:tabs>
        <w:tab w:val="center" w:pos="4153"/>
        <w:tab w:val="right" w:pos="8306"/>
      </w:tabs>
      <w:jc w:val="left"/>
    </w:pPr>
    <w:rPr>
      <w:sz w:val="18"/>
      <w:szCs w:val="18"/>
    </w:rPr>
  </w:style>
  <w:style w:type="character" w:customStyle="1" w:styleId="281">
    <w:name w:val="页脚 Char"/>
    <w:link w:val="280"/>
    <w:qFormat/>
    <w:uiPriority w:val="0"/>
    <w:rPr>
      <w:rFonts w:ascii="Times New Roman" w:hAnsi="Times New Roman" w:eastAsia="宋体" w:cs="Times New Roman"/>
      <w:sz w:val="18"/>
      <w:szCs w:val="18"/>
    </w:rPr>
  </w:style>
  <w:style w:type="paragraph" w:customStyle="1" w:styleId="282">
    <w:name w:val="页眉1"/>
    <w:basedOn w:val="1"/>
    <w:link w:val="283"/>
    <w:qFormat/>
    <w:uiPriority w:val="0"/>
    <w:pPr>
      <w:pBdr>
        <w:bottom w:val="single" w:color="000000" w:sz="6" w:space="1"/>
      </w:pBdr>
      <w:tabs>
        <w:tab w:val="center" w:pos="4153"/>
        <w:tab w:val="right" w:pos="8306"/>
      </w:tabs>
      <w:jc w:val="center"/>
    </w:pPr>
    <w:rPr>
      <w:sz w:val="18"/>
      <w:szCs w:val="18"/>
    </w:rPr>
  </w:style>
  <w:style w:type="character" w:customStyle="1" w:styleId="283">
    <w:name w:val="页眉 Char"/>
    <w:link w:val="282"/>
    <w:qFormat/>
    <w:uiPriority w:val="0"/>
    <w:rPr>
      <w:rFonts w:ascii="Times New Roman" w:hAnsi="Times New Roman" w:eastAsia="宋体" w:cs="Times New Roman"/>
      <w:sz w:val="18"/>
      <w:szCs w:val="18"/>
    </w:rPr>
  </w:style>
  <w:style w:type="paragraph" w:customStyle="1" w:styleId="28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5">
    <w:name w:val="目录 41"/>
    <w:basedOn w:val="1"/>
    <w:next w:val="1"/>
    <w:semiHidden/>
    <w:qFormat/>
    <w:uiPriority w:val="0"/>
    <w:pPr>
      <w:ind w:left="630"/>
      <w:jc w:val="left"/>
    </w:pPr>
    <w:rPr>
      <w:szCs w:val="21"/>
    </w:rPr>
  </w:style>
  <w:style w:type="paragraph" w:customStyle="1" w:styleId="286">
    <w:name w:val="列表1"/>
    <w:basedOn w:val="1"/>
    <w:qFormat/>
    <w:uiPriority w:val="0"/>
    <w:pPr>
      <w:ind w:left="200" w:hanging="200"/>
    </w:pPr>
    <w:rPr>
      <w:szCs w:val="21"/>
    </w:rPr>
  </w:style>
  <w:style w:type="paragraph" w:customStyle="1" w:styleId="287">
    <w:name w:val="目录 61"/>
    <w:basedOn w:val="1"/>
    <w:next w:val="1"/>
    <w:semiHidden/>
    <w:qFormat/>
    <w:uiPriority w:val="0"/>
    <w:pPr>
      <w:ind w:left="1050"/>
      <w:jc w:val="left"/>
    </w:pPr>
    <w:rPr>
      <w:szCs w:val="21"/>
    </w:rPr>
  </w:style>
  <w:style w:type="paragraph" w:customStyle="1" w:styleId="288">
    <w:name w:val="正文文本缩进 31"/>
    <w:basedOn w:val="1"/>
    <w:link w:val="289"/>
    <w:qFormat/>
    <w:uiPriority w:val="0"/>
    <w:pPr>
      <w:ind w:left="645" w:firstLine="645"/>
    </w:pPr>
    <w:rPr>
      <w:rFonts w:ascii="Arial" w:hAnsi="Arial" w:eastAsia="仿宋_GB2312" w:cs="Arial"/>
      <w:color w:val="FFFF00"/>
      <w:sz w:val="32"/>
      <w:szCs w:val="32"/>
    </w:rPr>
  </w:style>
  <w:style w:type="character" w:customStyle="1" w:styleId="289">
    <w:name w:val="正文文本缩进 3 Char"/>
    <w:link w:val="288"/>
    <w:qFormat/>
    <w:uiPriority w:val="0"/>
    <w:rPr>
      <w:rFonts w:ascii="Arial" w:hAnsi="Arial" w:eastAsia="仿宋_GB2312" w:cs="Arial"/>
      <w:color w:val="FFFF00"/>
      <w:sz w:val="32"/>
      <w:szCs w:val="32"/>
    </w:rPr>
  </w:style>
  <w:style w:type="paragraph" w:customStyle="1" w:styleId="290">
    <w:name w:val="图表目录1"/>
    <w:basedOn w:val="1"/>
    <w:next w:val="1"/>
    <w:semiHidden/>
    <w:qFormat/>
    <w:uiPriority w:val="0"/>
    <w:pPr>
      <w:ind w:left="840" w:hanging="420"/>
    </w:pPr>
    <w:rPr>
      <w:szCs w:val="21"/>
    </w:rPr>
  </w:style>
  <w:style w:type="paragraph" w:customStyle="1" w:styleId="291">
    <w:name w:val="目录 21"/>
    <w:basedOn w:val="1"/>
    <w:next w:val="1"/>
    <w:semiHidden/>
    <w:qFormat/>
    <w:uiPriority w:val="0"/>
    <w:pPr>
      <w:ind w:left="210"/>
      <w:jc w:val="left"/>
    </w:pPr>
    <w:rPr>
      <w:smallCaps/>
      <w:szCs w:val="24"/>
    </w:rPr>
  </w:style>
  <w:style w:type="paragraph" w:customStyle="1" w:styleId="292">
    <w:name w:val="目录 91"/>
    <w:basedOn w:val="1"/>
    <w:next w:val="1"/>
    <w:semiHidden/>
    <w:qFormat/>
    <w:uiPriority w:val="0"/>
    <w:pPr>
      <w:ind w:left="1680"/>
      <w:jc w:val="left"/>
    </w:pPr>
    <w:rPr>
      <w:szCs w:val="21"/>
    </w:rPr>
  </w:style>
  <w:style w:type="paragraph" w:customStyle="1" w:styleId="293">
    <w:name w:val="正文文本 21"/>
    <w:basedOn w:val="1"/>
    <w:link w:val="294"/>
    <w:qFormat/>
    <w:uiPriority w:val="0"/>
    <w:pPr>
      <w:widowControl/>
      <w:jc w:val="center"/>
    </w:pPr>
    <w:rPr>
      <w:rFonts w:ascii="楷体_GB2312" w:eastAsia="楷体_GB2312"/>
      <w:sz w:val="28"/>
      <w:szCs w:val="28"/>
    </w:rPr>
  </w:style>
  <w:style w:type="character" w:customStyle="1" w:styleId="294">
    <w:name w:val="正文文本 2 Char"/>
    <w:link w:val="293"/>
    <w:qFormat/>
    <w:uiPriority w:val="0"/>
    <w:rPr>
      <w:rFonts w:ascii="楷体_GB2312" w:hAnsi="Times New Roman" w:eastAsia="楷体_GB2312" w:cs="Times New Roman"/>
      <w:sz w:val="28"/>
      <w:szCs w:val="28"/>
    </w:rPr>
  </w:style>
  <w:style w:type="paragraph" w:customStyle="1" w:styleId="29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6">
    <w:name w:val="索引 11"/>
    <w:basedOn w:val="1"/>
    <w:next w:val="1"/>
    <w:semiHidden/>
    <w:qFormat/>
    <w:uiPriority w:val="0"/>
    <w:pPr>
      <w:spacing w:line="240" w:lineRule="atLeast"/>
    </w:pPr>
    <w:rPr>
      <w:b/>
      <w:bCs/>
      <w:szCs w:val="21"/>
    </w:rPr>
  </w:style>
  <w:style w:type="paragraph" w:customStyle="1" w:styleId="297">
    <w:name w:val="批注主题1"/>
    <w:basedOn w:val="259"/>
    <w:next w:val="259"/>
    <w:link w:val="298"/>
    <w:semiHidden/>
    <w:qFormat/>
    <w:uiPriority w:val="0"/>
    <w:rPr>
      <w:b/>
      <w:bCs/>
      <w:szCs w:val="21"/>
    </w:rPr>
  </w:style>
  <w:style w:type="character" w:customStyle="1" w:styleId="298">
    <w:name w:val="批注主题 Char"/>
    <w:link w:val="297"/>
    <w:semiHidden/>
    <w:qFormat/>
    <w:uiPriority w:val="0"/>
    <w:rPr>
      <w:rFonts w:ascii="Times New Roman" w:hAnsi="Times New Roman" w:eastAsia="宋体" w:cs="Times New Roman"/>
      <w:b/>
      <w:bCs/>
      <w:szCs w:val="21"/>
    </w:rPr>
  </w:style>
  <w:style w:type="paragraph" w:customStyle="1" w:styleId="299">
    <w:name w:val="正文首行缩进1"/>
    <w:basedOn w:val="1"/>
    <w:link w:val="300"/>
    <w:qFormat/>
    <w:uiPriority w:val="0"/>
    <w:pPr>
      <w:spacing w:line="360" w:lineRule="auto"/>
      <w:ind w:firstLine="200"/>
    </w:pPr>
    <w:rPr>
      <w:rFonts w:ascii="仿宋_GB2312" w:eastAsia="仿宋_GB2312"/>
      <w:sz w:val="30"/>
      <w:szCs w:val="30"/>
    </w:rPr>
  </w:style>
  <w:style w:type="character" w:customStyle="1" w:styleId="300">
    <w:name w:val="正文首行缩进 Char"/>
    <w:link w:val="299"/>
    <w:qFormat/>
    <w:uiPriority w:val="0"/>
    <w:rPr>
      <w:rFonts w:ascii="仿宋_GB2312" w:hAnsi="Times New Roman" w:eastAsia="仿宋_GB2312" w:cs="Times New Roman"/>
      <w:sz w:val="30"/>
      <w:szCs w:val="30"/>
    </w:rPr>
  </w:style>
  <w:style w:type="paragraph" w:customStyle="1" w:styleId="301">
    <w:name w:val="正文首行缩进 21"/>
    <w:basedOn w:val="302"/>
    <w:next w:val="1"/>
    <w:link w:val="304"/>
    <w:qFormat/>
    <w:uiPriority w:val="0"/>
    <w:pPr>
      <w:spacing w:after="0" w:line="360" w:lineRule="auto"/>
      <w:ind w:left="0" w:firstLine="420"/>
    </w:pPr>
    <w:rPr>
      <w:rFonts w:ascii="宋体" w:hAnsi="宋体"/>
      <w:szCs w:val="20"/>
    </w:rPr>
  </w:style>
  <w:style w:type="paragraph" w:customStyle="1" w:styleId="302">
    <w:name w:val="正文文本缩进11"/>
    <w:basedOn w:val="1"/>
    <w:next w:val="303"/>
    <w:unhideWhenUsed/>
    <w:qFormat/>
    <w:uiPriority w:val="0"/>
    <w:pPr>
      <w:spacing w:after="120"/>
      <w:ind w:left="420"/>
    </w:pPr>
  </w:style>
  <w:style w:type="paragraph" w:customStyle="1" w:styleId="303">
    <w:name w:val="寄信人地址1"/>
    <w:basedOn w:val="1"/>
    <w:qFormat/>
    <w:uiPriority w:val="0"/>
    <w:rPr>
      <w:rFonts w:ascii="Arial" w:hAnsi="Arial" w:eastAsia="宋体" w:cs="宋体"/>
    </w:rPr>
  </w:style>
  <w:style w:type="character" w:customStyle="1" w:styleId="304">
    <w:name w:val="正文首行缩进 2 Char"/>
    <w:link w:val="301"/>
    <w:qFormat/>
    <w:uiPriority w:val="0"/>
    <w:rPr>
      <w:rFonts w:ascii="宋体" w:hAnsi="宋体" w:eastAsia="宋体" w:cs="Times New Roman"/>
      <w:szCs w:val="20"/>
    </w:rPr>
  </w:style>
  <w:style w:type="table" w:customStyle="1" w:styleId="305">
    <w:name w:val="网格型11"/>
    <w:basedOn w:val="244"/>
    <w:qFormat/>
    <w:uiPriority w:val="0"/>
    <w:pPr>
      <w:widowControl w:val="0"/>
      <w:jc w:val="both"/>
    </w:pPr>
  </w:style>
  <w:style w:type="character" w:customStyle="1" w:styleId="306">
    <w:name w:val="要点1"/>
    <w:qFormat/>
    <w:uiPriority w:val="0"/>
    <w:rPr>
      <w:b/>
      <w:bCs/>
    </w:rPr>
  </w:style>
  <w:style w:type="character" w:customStyle="1" w:styleId="307">
    <w:name w:val="页码1"/>
    <w:link w:val="1"/>
    <w:qFormat/>
    <w:uiPriority w:val="0"/>
    <w:rPr>
      <w:rFonts w:hint="default" w:ascii="Times New Roman" w:hAnsi="Times New Roman" w:eastAsia="宋体" w:cs="Times New Roman"/>
      <w:sz w:val="21"/>
      <w:szCs w:val="22"/>
    </w:rPr>
  </w:style>
  <w:style w:type="character" w:customStyle="1" w:styleId="308">
    <w:name w:val="已访问的超链接1"/>
    <w:qFormat/>
    <w:uiPriority w:val="0"/>
    <w:rPr>
      <w:color w:val="800080"/>
      <w:u w:val="single"/>
    </w:rPr>
  </w:style>
  <w:style w:type="character" w:customStyle="1" w:styleId="309">
    <w:name w:val="超链接1"/>
    <w:qFormat/>
    <w:uiPriority w:val="0"/>
    <w:rPr>
      <w:color w:val="0000FF"/>
      <w:u w:val="single"/>
    </w:rPr>
  </w:style>
  <w:style w:type="character" w:customStyle="1" w:styleId="310">
    <w:name w:val="批注引用1"/>
    <w:semiHidden/>
    <w:qFormat/>
    <w:uiPriority w:val="0"/>
    <w:rPr>
      <w:sz w:val="21"/>
      <w:szCs w:val="21"/>
    </w:rPr>
  </w:style>
  <w:style w:type="character" w:customStyle="1" w:styleId="311">
    <w:name w:val="font5 Char"/>
    <w:qFormat/>
    <w:uiPriority w:val="0"/>
    <w:rPr>
      <w:rFonts w:ascii="宋体" w:hAnsi="宋体" w:eastAsia="宋体"/>
      <w:sz w:val="28"/>
      <w:szCs w:val="28"/>
      <w:lang w:val="en-US" w:eastAsia="zh-CN" w:bidi="ar-SA"/>
    </w:rPr>
  </w:style>
  <w:style w:type="character" w:customStyle="1" w:styleId="312">
    <w:name w:val="二级目录 Char"/>
    <w:link w:val="313"/>
    <w:qFormat/>
    <w:uiPriority w:val="0"/>
    <w:rPr>
      <w:b/>
      <w:sz w:val="30"/>
      <w:szCs w:val="28"/>
    </w:rPr>
  </w:style>
  <w:style w:type="paragraph" w:customStyle="1" w:styleId="313">
    <w:name w:val="二级目录"/>
    <w:next w:val="1"/>
    <w:link w:val="312"/>
    <w:qFormat/>
    <w:uiPriority w:val="0"/>
    <w:pPr>
      <w:tabs>
        <w:tab w:val="left" w:pos="907"/>
        <w:tab w:val="left" w:pos="1145"/>
      </w:tabs>
      <w:ind w:left="907" w:hanging="907"/>
      <w:outlineLvl w:val="1"/>
    </w:pPr>
    <w:rPr>
      <w:rFonts w:hint="default" w:ascii="Times New Roman" w:hAnsi="Times New Roman" w:eastAsia="宋体" w:cs="Times New Roman"/>
      <w:b/>
      <w:sz w:val="30"/>
      <w:szCs w:val="28"/>
    </w:rPr>
  </w:style>
  <w:style w:type="character" w:customStyle="1" w:styleId="314">
    <w:name w:val="列出段落 Char"/>
    <w:link w:val="315"/>
    <w:qFormat/>
    <w:uiPriority w:val="0"/>
    <w:rPr>
      <w:rFonts w:ascii="Calibri" w:hAnsi="Calibri"/>
      <w:sz w:val="24"/>
      <w:szCs w:val="24"/>
      <w:lang w:eastAsia="en-US" w:bidi="en-US"/>
    </w:rPr>
  </w:style>
  <w:style w:type="paragraph" w:customStyle="1" w:styleId="315">
    <w:name w:val="列出段落1"/>
    <w:basedOn w:val="1"/>
    <w:link w:val="314"/>
    <w:qFormat/>
    <w:uiPriority w:val="0"/>
    <w:pPr>
      <w:widowControl/>
      <w:ind w:left="720"/>
      <w:contextualSpacing/>
      <w:jc w:val="left"/>
    </w:pPr>
    <w:rPr>
      <w:rFonts w:ascii="Calibri" w:hAnsi="Calibri"/>
      <w:sz w:val="24"/>
      <w:szCs w:val="24"/>
      <w:lang w:eastAsia="en-US" w:bidi="en-US"/>
    </w:rPr>
  </w:style>
  <w:style w:type="paragraph" w:customStyle="1" w:styleId="316">
    <w:name w:val="Body Text(ch)"/>
    <w:basedOn w:val="1"/>
    <w:next w:val="263"/>
    <w:qFormat/>
    <w:uiPriority w:val="0"/>
    <w:pPr>
      <w:spacing w:after="120"/>
    </w:pPr>
    <w:rPr>
      <w:rFonts w:ascii="宋体" w:hAnsi="Arial"/>
      <w:bCs/>
      <w:iCs/>
      <w:szCs w:val="24"/>
    </w:rPr>
  </w:style>
  <w:style w:type="paragraph" w:customStyle="1" w:styleId="31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0"/>
    <w:pPr>
      <w:tabs>
        <w:tab w:val="left" w:pos="360"/>
      </w:tabs>
      <w:ind w:firstLine="200"/>
    </w:pPr>
    <w:rPr>
      <w:sz w:val="28"/>
      <w:szCs w:val="30"/>
    </w:rPr>
  </w:style>
  <w:style w:type="paragraph" w:customStyle="1" w:styleId="320">
    <w:name w:val="Char1"/>
    <w:basedOn w:val="257"/>
    <w:qFormat/>
    <w:uiPriority w:val="0"/>
    <w:rPr>
      <w:rFonts w:ascii="Tahoma" w:hAnsi="Tahoma"/>
      <w:sz w:val="24"/>
      <w:szCs w:val="24"/>
    </w:rPr>
  </w:style>
  <w:style w:type="paragraph" w:customStyle="1" w:styleId="3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2">
    <w:name w:val="table_lines"/>
    <w:basedOn w:val="1"/>
    <w:qFormat/>
    <w:uiPriority w:val="0"/>
    <w:pPr>
      <w:widowControl/>
      <w:jc w:val="left"/>
    </w:pPr>
    <w:rPr>
      <w:sz w:val="20"/>
      <w:szCs w:val="20"/>
      <w:lang w:val="de-DE" w:eastAsia="de-DE"/>
    </w:rPr>
  </w:style>
  <w:style w:type="paragraph" w:customStyle="1" w:styleId="323">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32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Char Char Char Char"/>
    <w:basedOn w:val="257"/>
    <w:qFormat/>
    <w:uiPriority w:val="0"/>
    <w:pPr>
      <w:spacing w:line="360" w:lineRule="auto"/>
    </w:pPr>
    <w:rPr>
      <w:rFonts w:ascii="Tahoma" w:hAnsi="Tahoma"/>
      <w:sz w:val="24"/>
      <w:szCs w:val="24"/>
    </w:rPr>
  </w:style>
  <w:style w:type="paragraph" w:customStyle="1" w:styleId="326">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27">
    <w:name w:val="4"/>
    <w:basedOn w:val="1"/>
    <w:next w:val="288"/>
    <w:qFormat/>
    <w:uiPriority w:val="0"/>
    <w:pPr>
      <w:spacing w:line="360" w:lineRule="auto"/>
      <w:ind w:firstLine="420"/>
    </w:pPr>
    <w:rPr>
      <w:color w:val="FF0000"/>
      <w:sz w:val="24"/>
      <w:szCs w:val="24"/>
    </w:rPr>
  </w:style>
  <w:style w:type="paragraph" w:customStyle="1" w:styleId="32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9">
    <w:name w:val="Char Char Char Char Char Char Char Char Char Char"/>
    <w:basedOn w:val="1"/>
    <w:qFormat/>
    <w:uiPriority w:val="0"/>
    <w:pPr>
      <w:spacing w:line="360" w:lineRule="auto"/>
    </w:pPr>
    <w:rPr>
      <w:sz w:val="24"/>
      <w:szCs w:val="20"/>
    </w:rPr>
  </w:style>
  <w:style w:type="paragraph" w:customStyle="1" w:styleId="330">
    <w:name w:val="样式1"/>
    <w:basedOn w:val="1"/>
    <w:qFormat/>
    <w:uiPriority w:val="0"/>
    <w:pPr>
      <w:numPr>
        <w:ilvl w:val="0"/>
        <w:numId w:val="3"/>
      </w:numPr>
    </w:pPr>
    <w:rPr>
      <w:rFonts w:ascii="宋体" w:hAnsi="宋体"/>
      <w:szCs w:val="21"/>
    </w:rPr>
  </w:style>
  <w:style w:type="paragraph" w:customStyle="1" w:styleId="33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1">
    <w:name w:val="Char Char Char Char1"/>
    <w:basedOn w:val="257"/>
    <w:qFormat/>
    <w:uiPriority w:val="0"/>
    <w:pPr>
      <w:spacing w:line="360" w:lineRule="auto"/>
    </w:pPr>
    <w:rPr>
      <w:rFonts w:ascii="Tahoma" w:hAnsi="Tahoma"/>
      <w:sz w:val="24"/>
      <w:szCs w:val="24"/>
    </w:rPr>
  </w:style>
  <w:style w:type="paragraph" w:customStyle="1" w:styleId="342">
    <w:name w:val="table_1stline"/>
    <w:basedOn w:val="1"/>
    <w:qFormat/>
    <w:uiPriority w:val="0"/>
    <w:pPr>
      <w:widowControl/>
      <w:spacing w:before="120"/>
      <w:jc w:val="left"/>
    </w:pPr>
    <w:rPr>
      <w:bCs/>
      <w:sz w:val="20"/>
      <w:szCs w:val="20"/>
      <w:lang w:val="de-DE" w:eastAsia="de-DE"/>
    </w:rPr>
  </w:style>
  <w:style w:type="paragraph" w:customStyle="1" w:styleId="34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5">
    <w:name w:val="修订1"/>
    <w:semiHidden/>
    <w:qFormat/>
    <w:uiPriority w:val="99"/>
    <w:rPr>
      <w:rFonts w:hint="default" w:ascii="Times New Roman" w:hAnsi="Times New Roman" w:eastAsia="宋体" w:cs="Times New Roman"/>
      <w:sz w:val="21"/>
      <w:szCs w:val="21"/>
    </w:rPr>
  </w:style>
  <w:style w:type="paragraph" w:customStyle="1" w:styleId="346">
    <w:name w:val="无间隔1"/>
    <w:qFormat/>
    <w:uiPriority w:val="99"/>
    <w:pPr>
      <w:widowControl w:val="0"/>
      <w:jc w:val="both"/>
    </w:pPr>
    <w:rPr>
      <w:rFonts w:hint="default" w:ascii="Times New Roman" w:hAnsi="Times New Roman" w:eastAsia="宋体" w:cs="Times New Roman"/>
      <w:sz w:val="21"/>
      <w:szCs w:val="21"/>
    </w:rPr>
  </w:style>
  <w:style w:type="table" w:customStyle="1" w:styleId="347">
    <w:name w:val="Table Normal"/>
    <w:qFormat/>
    <w:uiPriority w:val="0"/>
    <w:tblPr>
      <w:tblCellMar>
        <w:top w:w="0" w:type="dxa"/>
        <w:left w:w="0" w:type="dxa"/>
        <w:bottom w:w="0" w:type="dxa"/>
        <w:right w:w="0" w:type="dxa"/>
      </w:tblCellMar>
    </w:tblPr>
  </w:style>
  <w:style w:type="paragraph" w:customStyle="1" w:styleId="348">
    <w:name w:val="正文文本 211"/>
    <w:basedOn w:val="1"/>
    <w:qFormat/>
    <w:uiPriority w:val="99"/>
    <w:pPr>
      <w:jc w:val="center"/>
    </w:pPr>
    <w:rPr>
      <w:b/>
      <w:bCs/>
      <w:sz w:val="20"/>
      <w:szCs w:val="20"/>
    </w:rPr>
  </w:style>
  <w:style w:type="paragraph" w:customStyle="1" w:styleId="349">
    <w:name w:val="正文文本1"/>
    <w:basedOn w:val="1"/>
    <w:next w:val="1"/>
    <w:semiHidden/>
    <w:qFormat/>
    <w:uiPriority w:val="0"/>
    <w:rPr>
      <w:rFonts w:ascii="Arial" w:hAnsi="Arial" w:eastAsia="Arial" w:cs="Arial"/>
      <w:szCs w:val="21"/>
      <w:lang w:eastAsia="en-US"/>
    </w:rPr>
  </w:style>
  <w:style w:type="paragraph" w:customStyle="1" w:styleId="350">
    <w:name w:val="正文文本12"/>
    <w:basedOn w:val="1"/>
    <w:qFormat/>
    <w:uiPriority w:val="1"/>
    <w:pPr>
      <w:ind w:left="120"/>
    </w:pPr>
    <w:rPr>
      <w:rFonts w:ascii="宋体" w:hAnsi="宋体" w:cs="宋体"/>
      <w:szCs w:val="21"/>
      <w:lang w:val="zh-CN" w:bidi="zh-CN"/>
    </w:rPr>
  </w:style>
  <w:style w:type="paragraph" w:customStyle="1" w:styleId="351">
    <w:name w:val="Table Text"/>
    <w:basedOn w:val="1"/>
    <w:semiHidden/>
    <w:qFormat/>
    <w:uiPriority w:val="0"/>
    <w:rPr>
      <w:rFonts w:ascii="宋体" w:hAnsi="宋体" w:cs="宋体"/>
      <w:szCs w:val="21"/>
      <w:lang w:eastAsia="en-US"/>
    </w:rPr>
  </w:style>
  <w:style w:type="table" w:customStyle="1" w:styleId="352">
    <w:name w:val="网格型1"/>
    <w:basedOn w:val="353"/>
    <w:qFormat/>
    <w:uiPriority w:val="0"/>
    <w:pPr>
      <w:widowControl w:val="0"/>
      <w:jc w:val="both"/>
    </w:pPr>
  </w:style>
  <w:style w:type="table" w:customStyle="1" w:styleId="353">
    <w:name w:val="普通表格1"/>
    <w:unhideWhenUsed/>
    <w:qFormat/>
    <w:uiPriority w:val="99"/>
    <w:tblPr>
      <w:tblCellMar>
        <w:top w:w="0" w:type="dxa"/>
        <w:left w:w="0" w:type="dxa"/>
        <w:bottom w:w="0" w:type="dxa"/>
        <w:right w:w="0" w:type="dxa"/>
      </w:tblCellMar>
    </w:tblPr>
  </w:style>
  <w:style w:type="character" w:customStyle="1" w:styleId="354">
    <w:name w:val="font31"/>
    <w:basedOn w:val="243"/>
    <w:qFormat/>
    <w:uiPriority w:val="0"/>
    <w:rPr>
      <w:rFonts w:hint="eastAsia" w:ascii="宋体" w:hAnsi="宋体" w:eastAsia="宋体" w:cs="宋体"/>
      <w:b/>
      <w:bCs/>
      <w:color w:val="000000"/>
      <w:sz w:val="21"/>
      <w:szCs w:val="21"/>
      <w:u w:val="none"/>
    </w:rPr>
  </w:style>
  <w:style w:type="character" w:customStyle="1" w:styleId="355">
    <w:name w:val="font21"/>
    <w:basedOn w:val="40"/>
    <w:qFormat/>
    <w:uiPriority w:val="0"/>
    <w:rPr>
      <w:rFonts w:hint="eastAsia" w:ascii="宋体" w:hAnsi="宋体" w:eastAsia="宋体" w:cs="宋体"/>
      <w:b/>
      <w:bCs/>
      <w:color w:val="000000"/>
      <w:sz w:val="21"/>
      <w:szCs w:val="21"/>
      <w:u w:val="single"/>
    </w:rPr>
  </w:style>
  <w:style w:type="paragraph" w:customStyle="1" w:styleId="356">
    <w:name w:val="Table Paragraph"/>
    <w:basedOn w:val="1"/>
    <w:qFormat/>
    <w:uiPriority w:val="1"/>
  </w:style>
  <w:style w:type="paragraph" w:customStyle="1" w:styleId="357">
    <w:name w:val="Default"/>
    <w:qFormat/>
    <w:uiPriority w:val="0"/>
    <w:pPr>
      <w:widowControl w:val="0"/>
    </w:pPr>
    <w:rPr>
      <w:rFonts w:hint="default" w:ascii="宋体" w:hAnsi="Times New Roman" w:eastAsia="宋体" w:cs="宋体"/>
      <w:color w:val="000000"/>
      <w:sz w:val="24"/>
      <w:szCs w:val="24"/>
    </w:rPr>
  </w:style>
  <w:style w:type="paragraph" w:customStyle="1" w:styleId="358">
    <w:name w:val="@@正文"/>
    <w:qFormat/>
    <w:uiPriority w:val="0"/>
    <w:pPr>
      <w:ind w:firstLine="200"/>
    </w:pPr>
    <w:rPr>
      <w:rFonts w:hint="default" w:ascii="Times New Roman" w:hAnsi="Times New Roman" w:eastAsia="宋体" w:cs="Times New Roman"/>
      <w:sz w:val="28"/>
      <w:szCs w:val="22"/>
    </w:rPr>
  </w:style>
  <w:style w:type="character" w:customStyle="1" w:styleId="359">
    <w:name w:val="纯文本 Char1"/>
    <w:basedOn w:val="40"/>
    <w:link w:val="22"/>
    <w:qFormat/>
    <w:uiPriority w:val="0"/>
    <w:rPr>
      <w:rFonts w:ascii="宋体" w:hAnsi="Courier New" w:cs="Courier New"/>
      <w:sz w:val="21"/>
      <w:szCs w:val="21"/>
    </w:rPr>
  </w:style>
  <w:style w:type="character" w:customStyle="1" w:styleId="360">
    <w:name w:val="批注文字 Char1"/>
    <w:basedOn w:val="40"/>
    <w:link w:val="17"/>
    <w:qFormat/>
    <w:uiPriority w:val="99"/>
    <w:rPr>
      <w:sz w:val="21"/>
      <w:szCs w:val="22"/>
    </w:rPr>
  </w:style>
  <w:style w:type="character" w:customStyle="1" w:styleId="361">
    <w:name w:val="未处理的提及1"/>
    <w:basedOn w:val="40"/>
    <w:semiHidden/>
    <w:unhideWhenUsed/>
    <w:qFormat/>
    <w:uiPriority w:val="99"/>
    <w:rPr>
      <w:color w:val="605E5C"/>
      <w:shd w:val="clear" w:color="auto" w:fill="E1DFDD"/>
    </w:rPr>
  </w:style>
  <w:style w:type="character" w:customStyle="1" w:styleId="362">
    <w:name w:val="font71"/>
    <w:basedOn w:val="243"/>
    <w:qFormat/>
    <w:uiPriority w:val="0"/>
    <w:rPr>
      <w:rFonts w:hint="eastAsia" w:ascii="仿宋" w:hAnsi="仿宋" w:eastAsia="仿宋" w:cs="仿宋"/>
      <w:color w:val="000000"/>
      <w:sz w:val="24"/>
      <w:szCs w:val="24"/>
      <w:u w:val="single"/>
    </w:rPr>
  </w:style>
  <w:style w:type="paragraph" w:customStyle="1" w:styleId="363">
    <w:name w:val="Revision"/>
    <w:hidden/>
    <w:unhideWhenUsed/>
    <w:qFormat/>
    <w:uiPriority w:val="99"/>
    <w:rPr>
      <w:rFonts w:hint="default" w:ascii="Times New Roman" w:hAnsi="Times New Roman" w:eastAsia="宋体" w:cs="Times New Roman"/>
      <w:sz w:val="21"/>
      <w:szCs w:val="22"/>
    </w:rPr>
  </w:style>
  <w:style w:type="character" w:customStyle="1" w:styleId="364">
    <w:name w:val="font11"/>
    <w:basedOn w:val="40"/>
    <w:qFormat/>
    <w:uiPriority w:val="0"/>
    <w:rPr>
      <w:rFonts w:hint="default" w:ascii="Arial" w:hAnsi="Arial" w:cs="Arial"/>
      <w:color w:val="333333"/>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40</Pages>
  <Words>18603</Words>
  <Characters>20278</Characters>
  <TotalTime>1</TotalTime>
  <ScaleCrop>false</ScaleCrop>
  <LinksUpToDate>false</LinksUpToDate>
  <CharactersWithSpaces>20965</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2024-11-29T06:33:00Z</dcterms:created>
  <dc:creator>赵国</dc:creator>
  <cp:lastModifiedBy>寂寞rain不停</cp:lastModifiedBy>
  <dcterms:modified xsi:type="dcterms:W3CDTF">2025-11-03T02:01:07Z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481CF22C798C4180A8AB0C3A34403D3B_13</vt:lpwstr>
  </property>
  <property fmtid="{D5CDD505-2E9C-101B-9397-08002B2CF9AE}" pid="4" name="KSOTemplateDocerSaveRecord">
    <vt:lpwstr>eyJoZGlkIjoiM2EwYWQxMzYyYTY3MDllZTljMzU3NzZiNjU5NjJjOTEiLCJ1c2VySWQiOiI0Njk2MDc5MTUifQ==</vt:lpwstr>
  </property>
</Properties>
</file>